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right"/>
        <w:rPr>
          <w:sz w:val="22"/>
          <w:sz w:val="22"/>
          <w:szCs w:val="36"/>
          <w:bCs/>
          <w:rFonts w:cs="Arial"/>
          <w:color w:val="000000"/>
        </w:rPr>
      </w:pPr>
      <w:bookmarkStart w:id="0" w:name="_GoBack"/>
      <w:bookmarkEnd w:id="0"/>
      <w:r>
        <w:rPr>
          <w:rFonts w:cs="Arial"/>
          <w:bCs/>
          <w:color w:val="000000"/>
          <w:sz w:val="22"/>
          <w:szCs w:val="36"/>
        </w:rPr>
        <w:t>31. Mai 2016</w:t>
      </w:r>
      <w:r/>
    </w:p>
    <w:p>
      <w:pPr>
        <w:pStyle w:val="Normal"/>
        <w:spacing w:lineRule="auto" w:line="240"/>
        <w:jc w:val="center"/>
        <w:rPr>
          <w:sz w:val="22"/>
          <w:b/>
          <w:sz w:val="22"/>
          <w:b/>
          <w:szCs w:val="36"/>
          <w:bCs/>
          <w:rFonts w:ascii="Arial" w:hAnsi="Arial" w:eastAsia="Times New Roman" w:cs="Arial"/>
          <w:color w:val="000000"/>
          <w:lang w:eastAsia="de-DE"/>
        </w:rPr>
      </w:pPr>
      <w:r>
        <w:rPr>
          <w:rFonts w:cs="Arial"/>
          <w:b/>
          <w:bCs/>
          <w:color w:val="000000"/>
          <w:sz w:val="22"/>
          <w:szCs w:val="36"/>
        </w:rPr>
      </w:r>
      <w:r/>
    </w:p>
    <w:p>
      <w:pPr>
        <w:pStyle w:val="Normal"/>
        <w:spacing w:before="0" w:after="120"/>
        <w:jc w:val="center"/>
        <w:rPr>
          <w:sz w:val="36"/>
          <w:b/>
          <w:sz w:val="36"/>
          <w:b/>
          <w:szCs w:val="36"/>
        </w:rPr>
      </w:pPr>
      <w:r>
        <w:rPr>
          <w:rFonts w:cs="Arial"/>
          <w:szCs w:val="24"/>
        </w:rPr>
        <w:t xml:space="preserve"> </w:t>
      </w:r>
      <w:r>
        <w:rPr>
          <w:b/>
          <w:sz w:val="36"/>
          <w:szCs w:val="36"/>
        </w:rPr>
        <w:t>Schriftliche Kleine Anfrage</w:t>
      </w:r>
      <w:r/>
    </w:p>
    <w:p>
      <w:pPr>
        <w:pStyle w:val="Normal"/>
        <w:spacing w:before="0" w:after="120"/>
        <w:jc w:val="center"/>
        <w:rPr>
          <w:sz w:val="20"/>
          <w:b/>
          <w:sz w:val="20"/>
          <w:b/>
          <w:rFonts w:cs="Arial"/>
          <w:lang w:eastAsia="ar-SA"/>
        </w:rPr>
      </w:pPr>
      <w:r>
        <w:rPr>
          <w:rFonts w:cs="Arial"/>
          <w:b/>
          <w:sz w:val="20"/>
        </w:rPr>
        <w:t>des Abgeordneten Martin Dolzer (DIE LINKE) vom 24.05.2016</w:t>
      </w:r>
      <w:r/>
    </w:p>
    <w:p>
      <w:pPr>
        <w:pStyle w:val="Normal"/>
        <w:spacing w:lineRule="auto" w:line="240" w:before="240" w:after="0"/>
        <w:jc w:val="center"/>
        <w:rPr>
          <w:sz w:val="36"/>
          <w:b/>
          <w:sz w:val="36"/>
          <w:b/>
          <w:szCs w:val="36"/>
          <w:bCs/>
          <w:rFonts w:cs="Arial"/>
          <w:color w:val="000000"/>
        </w:rPr>
      </w:pPr>
      <w:r>
        <w:rPr>
          <w:rFonts w:cs="Arial"/>
          <w:b/>
          <w:bCs/>
          <w:color w:val="000000"/>
          <w:sz w:val="20"/>
        </w:rPr>
        <w:t xml:space="preserve">und </w:t>
      </w:r>
      <w:r>
        <w:rPr>
          <w:rFonts w:cs="Arial"/>
          <w:b/>
          <w:bCs/>
          <w:color w:val="000000"/>
          <w:sz w:val="36"/>
          <w:szCs w:val="36"/>
        </w:rPr>
        <w:t>Antwort des Senats</w:t>
      </w:r>
      <w:r/>
    </w:p>
    <w:p>
      <w:pPr>
        <w:pStyle w:val="Normal"/>
        <w:spacing w:lineRule="auto" w:line="240" w:before="240" w:after="0"/>
        <w:jc w:val="center"/>
        <w:rPr>
          <w:sz w:val="28"/>
          <w:b/>
          <w:sz w:val="28"/>
          <w:b/>
          <w:szCs w:val="28"/>
        </w:rPr>
      </w:pPr>
      <w:r>
        <w:rPr>
          <w:b/>
          <w:sz w:val="28"/>
          <w:szCs w:val="28"/>
        </w:rPr>
        <w:t>- Drucksache 21/4570 -</w:t>
      </w:r>
      <w:r/>
    </w:p>
    <w:p>
      <w:pPr>
        <w:pStyle w:val="Normal"/>
        <w:spacing w:lineRule="auto" w:line="240"/>
        <w:rPr>
          <w:sz w:val="22"/>
          <w:sz w:val="22"/>
          <w:szCs w:val="22"/>
          <w:rFonts w:ascii="Arial" w:hAnsi="Arial" w:eastAsia="Times New Roman"/>
          <w:lang w:eastAsia="de-DE"/>
        </w:rPr>
      </w:pPr>
      <w:r>
        <w:rPr>
          <w:sz w:val="22"/>
          <w:szCs w:val="22"/>
        </w:rPr>
      </w:r>
      <w:r/>
    </w:p>
    <w:p>
      <w:pPr>
        <w:pStyle w:val="Normal"/>
        <w:spacing w:lineRule="auto" w:line="240"/>
        <w:rPr>
          <w:sz w:val="22"/>
          <w:sz w:val="22"/>
          <w:szCs w:val="22"/>
          <w:rFonts w:ascii="Arial" w:hAnsi="Arial" w:eastAsia="Times New Roman"/>
          <w:lang w:eastAsia="de-DE"/>
        </w:rPr>
      </w:pPr>
      <w:r>
        <w:rPr>
          <w:sz w:val="22"/>
          <w:szCs w:val="22"/>
        </w:rPr>
      </w:r>
      <w:r/>
    </w:p>
    <w:p>
      <w:pPr>
        <w:pStyle w:val="Normal"/>
        <w:spacing w:lineRule="auto" w:line="240"/>
        <w:rPr>
          <w:sz w:val="20"/>
          <w:i/>
          <w:b/>
          <w:sz w:val="20"/>
          <w:i/>
          <w:b/>
          <w:rFonts w:ascii="Arial" w:hAnsi="Arial" w:eastAsia="Times New Roman" w:cs="Arial"/>
          <w:lang w:eastAsia="de-DE"/>
        </w:rPr>
      </w:pPr>
      <w:r>
        <w:rPr>
          <w:rFonts w:cs="Arial"/>
          <w:b/>
          <w:i/>
          <w:sz w:val="20"/>
        </w:rPr>
      </w:r>
      <w:r/>
    </w:p>
    <w:p>
      <w:pPr>
        <w:pStyle w:val="Default"/>
        <w:ind w:left="709" w:hanging="720"/>
        <w:rPr>
          <w:sz w:val="22"/>
          <w:b/>
          <w:sz w:val="22"/>
          <w:b/>
          <w:szCs w:val="20"/>
          <w:bCs/>
        </w:rPr>
      </w:pPr>
      <w:r>
        <w:rPr>
          <w:b/>
          <w:bCs/>
          <w:sz w:val="22"/>
          <w:szCs w:val="20"/>
        </w:rPr>
        <w:t>Betr.:</w:t>
        <w:tab/>
        <w:t>Rassistische Kontrollen in St. Pauli</w:t>
      </w:r>
      <w:r/>
    </w:p>
    <w:p>
      <w:pPr>
        <w:pStyle w:val="Default"/>
        <w:ind w:left="709" w:hanging="720"/>
        <w:rPr>
          <w:sz w:val="22"/>
          <w:b/>
          <w:sz w:val="22"/>
          <w:b/>
          <w:szCs w:val="20"/>
          <w:bCs/>
          <w:rFonts w:ascii="Arial" w:hAnsi="Arial" w:eastAsia="Times New Roman" w:cs="Arial"/>
          <w:color w:val="000000"/>
          <w:lang w:eastAsia="de-DE"/>
        </w:rPr>
      </w:pPr>
      <w:r>
        <w:rPr>
          <w:b/>
          <w:bCs/>
          <w:sz w:val="22"/>
          <w:szCs w:val="20"/>
        </w:rPr>
      </w:r>
      <w:r/>
    </w:p>
    <w:p>
      <w:pPr>
        <w:pStyle w:val="Default"/>
        <w:ind w:left="709" w:hanging="0"/>
        <w:jc w:val="both"/>
        <w:rPr>
          <w:sz w:val="20"/>
          <w:i/>
          <w:sz w:val="20"/>
          <w:i/>
          <w:szCs w:val="20"/>
        </w:rPr>
      </w:pPr>
      <w:r>
        <w:rPr>
          <w:i/>
          <w:sz w:val="20"/>
          <w:szCs w:val="20"/>
        </w:rPr>
        <w:t>Das Oberverwaltungsgericht Hamburg hat die Einrichtung von Gefahrengebieten durch die Polizei als verfassungswidrig bewertet. Die Umbenennung in „Gefährliche Orte“ wird, so befürchten ExpertInnen, kaum eine Änderung der Praxis nach sich ziehen.</w:t>
      </w:r>
      <w:r/>
    </w:p>
    <w:p>
      <w:pPr>
        <w:pStyle w:val="Default"/>
        <w:ind w:left="709" w:hanging="0"/>
        <w:jc w:val="both"/>
        <w:rPr>
          <w:sz w:val="20"/>
          <w:i/>
          <w:sz w:val="20"/>
          <w:i/>
          <w:szCs w:val="20"/>
          <w:rFonts w:ascii="Arial" w:hAnsi="Arial" w:eastAsia="Times New Roman" w:cs="Arial"/>
          <w:color w:val="000000"/>
          <w:lang w:eastAsia="de-DE"/>
        </w:rPr>
      </w:pPr>
      <w:r>
        <w:rPr>
          <w:i/>
          <w:sz w:val="20"/>
          <w:szCs w:val="20"/>
        </w:rPr>
      </w:r>
      <w:r/>
    </w:p>
    <w:p>
      <w:pPr>
        <w:pStyle w:val="Default"/>
        <w:ind w:left="709" w:hanging="0"/>
        <w:jc w:val="both"/>
        <w:rPr>
          <w:sz w:val="20"/>
          <w:i/>
          <w:sz w:val="20"/>
          <w:i/>
          <w:szCs w:val="20"/>
        </w:rPr>
      </w:pPr>
      <w:r>
        <w:rPr>
          <w:i/>
          <w:sz w:val="20"/>
          <w:szCs w:val="20"/>
        </w:rPr>
        <w:t>Immer mehr AnwohnerInnen in St. Pauli beschweren sich über fast tägliche Polizeieinsätzen gegen Schwarze, die oft auch als Übergriffe geschildert werden. Dort gab es bisher ein Gefahrengebiet. Meist sagen die BeamtInnen, dass sie nach Drogen fahnden. Vereinzelt wurde jedoch auch zugegeben, dass der Anlass der Kontrolle die Hautfarbe der Betroffenen und kein konkretes Verdachtsmoment ist.  AnwohnerInnen kritisieren zudem die Einsätze der Polizei als „völlig unverhältnismäßig.“ Immer wieder gingen PolizistInnen auf Privatgrundstücke, um Verdächtige zu verfolgen. Einige BewohnerInnen der Hafenstraße haben jetzt eine Anwältin eingeschaltet und Akteneinsicht gefordert.</w:t>
      </w:r>
      <w:r/>
    </w:p>
    <w:p>
      <w:pPr>
        <w:pStyle w:val="Default"/>
        <w:ind w:left="709" w:hanging="0"/>
        <w:jc w:val="both"/>
        <w:rPr>
          <w:sz w:val="20"/>
          <w:i/>
          <w:sz w:val="20"/>
          <w:i/>
          <w:szCs w:val="20"/>
          <w:rFonts w:ascii="Arial" w:hAnsi="Arial" w:eastAsia="Times New Roman" w:cs="Arial"/>
          <w:color w:val="000000"/>
          <w:lang w:eastAsia="de-DE"/>
        </w:rPr>
      </w:pPr>
      <w:r>
        <w:rPr>
          <w:i/>
          <w:sz w:val="20"/>
          <w:szCs w:val="20"/>
        </w:rPr>
      </w:r>
      <w:r/>
    </w:p>
    <w:p>
      <w:pPr>
        <w:pStyle w:val="Default"/>
        <w:ind w:left="709" w:hanging="0"/>
        <w:jc w:val="both"/>
        <w:rPr>
          <w:sz w:val="20"/>
          <w:i/>
          <w:sz w:val="20"/>
          <w:i/>
          <w:szCs w:val="20"/>
        </w:rPr>
      </w:pPr>
      <w:bookmarkStart w:id="1" w:name="Rassistische%20Kontrollen"/>
      <w:bookmarkEnd w:id="1"/>
      <w:r>
        <w:rPr>
          <w:i/>
          <w:sz w:val="20"/>
          <w:szCs w:val="20"/>
        </w:rPr>
        <w:t>Racial Profiling ist, wenn die Polizei Menschen aufgrund ihrer Hautfarbe verdächtigt und kontrolliert. An manchen Tagen sind im Gefahrengebiet St. Pauli bis zu 54 Personen überprüft worden.</w:t>
      </w:r>
      <w:r/>
    </w:p>
    <w:p>
      <w:pPr>
        <w:pStyle w:val="Default"/>
        <w:ind w:left="709" w:hanging="0"/>
        <w:jc w:val="both"/>
        <w:rPr>
          <w:sz w:val="20"/>
          <w:i/>
          <w:sz w:val="20"/>
          <w:i/>
          <w:szCs w:val="20"/>
          <w:rFonts w:ascii="Arial" w:hAnsi="Arial" w:eastAsia="Times New Roman" w:cs="Arial"/>
          <w:color w:val="000000"/>
          <w:lang w:eastAsia="de-DE"/>
        </w:rPr>
      </w:pPr>
      <w:r>
        <w:rPr>
          <w:i/>
          <w:sz w:val="20"/>
          <w:szCs w:val="20"/>
        </w:rPr>
      </w:r>
      <w:r/>
    </w:p>
    <w:p>
      <w:pPr>
        <w:pStyle w:val="Default"/>
        <w:ind w:left="709" w:hanging="0"/>
        <w:jc w:val="both"/>
        <w:rPr>
          <w:sz w:val="20"/>
          <w:i/>
          <w:sz w:val="20"/>
          <w:i/>
          <w:szCs w:val="20"/>
        </w:rPr>
      </w:pPr>
      <w:r>
        <w:rPr>
          <w:i/>
          <w:sz w:val="20"/>
          <w:szCs w:val="20"/>
        </w:rPr>
        <w:t xml:space="preserve">Racial Profiling ist allerdings eine verfassungswidrige rassistische Praxis. Nach einer mündlichen Verhandlung vor dem Oberverwaltungsgericht (OVG) Rheinland-Pfalz am 29.10.2012 erkannte die Bundespolizei nach umfangreicher Beweisaufnahme für die beklagte Bundesrepublik Deutschland die Rechtswidrigkeit der Befragung und Kontrolle einzig bzw. ausschlaggebend wegen der Hautfarbe des Klägers als rechtswidrig und gegen das Diskriminierungsverbot aus Art. 3 Abs. 3 GG verstoßend an. Die Bundesrepublik entschuldigte sich daraufhin offiziell bei dem Kläger. </w:t>
      </w:r>
      <w:r/>
    </w:p>
    <w:p>
      <w:pPr>
        <w:pStyle w:val="Default"/>
        <w:ind w:left="709" w:hanging="0"/>
        <w:jc w:val="both"/>
        <w:rPr>
          <w:sz w:val="20"/>
          <w:i/>
          <w:sz w:val="20"/>
          <w:i/>
          <w:szCs w:val="20"/>
          <w:rFonts w:ascii="Arial" w:hAnsi="Arial" w:eastAsia="Times New Roman" w:cs="Arial"/>
          <w:color w:val="000000"/>
          <w:lang w:eastAsia="de-DE"/>
        </w:rPr>
      </w:pPr>
      <w:r>
        <w:rPr>
          <w:i/>
          <w:sz w:val="20"/>
          <w:szCs w:val="20"/>
        </w:rPr>
      </w:r>
      <w:r/>
    </w:p>
    <w:p>
      <w:pPr>
        <w:pStyle w:val="Default"/>
        <w:ind w:left="709" w:hanging="0"/>
        <w:jc w:val="both"/>
        <w:rPr>
          <w:sz w:val="20"/>
          <w:i/>
          <w:sz w:val="20"/>
          <w:i/>
          <w:szCs w:val="20"/>
        </w:rPr>
      </w:pPr>
      <w:r>
        <w:rPr>
          <w:i/>
          <w:sz w:val="20"/>
          <w:szCs w:val="20"/>
        </w:rPr>
        <w:t xml:space="preserve">Nun wurde zudem eine Task-Force eingerichtet. </w:t>
      </w:r>
      <w:r/>
    </w:p>
    <w:p>
      <w:pPr>
        <w:pStyle w:val="Default"/>
        <w:ind w:left="709" w:hanging="0"/>
        <w:jc w:val="both"/>
        <w:rPr>
          <w:sz w:val="20"/>
          <w:i/>
          <w:sz w:val="20"/>
          <w:i/>
          <w:szCs w:val="20"/>
          <w:rFonts w:ascii="Arial" w:hAnsi="Arial" w:eastAsia="Times New Roman" w:cs="Arial"/>
          <w:color w:val="000000"/>
          <w:lang w:eastAsia="de-DE"/>
        </w:rPr>
      </w:pPr>
      <w:r>
        <w:rPr>
          <w:i/>
          <w:sz w:val="20"/>
          <w:szCs w:val="20"/>
        </w:rPr>
      </w:r>
      <w:r/>
    </w:p>
    <w:p>
      <w:pPr>
        <w:pStyle w:val="Normal"/>
        <w:spacing w:lineRule="auto" w:line="240"/>
        <w:ind w:left="709" w:hanging="0"/>
        <w:jc w:val="both"/>
        <w:rPr>
          <w:sz w:val="20"/>
          <w:i/>
          <w:sz w:val="20"/>
          <w:i/>
          <w:rFonts w:cs="Arial"/>
        </w:rPr>
      </w:pPr>
      <w:r>
        <w:rPr>
          <w:rFonts w:cs="Arial"/>
          <w:i/>
          <w:sz w:val="20"/>
        </w:rPr>
        <w:t>Vor diesem Hintergrund frage ich den Senat:</w:t>
      </w:r>
      <w:r/>
    </w:p>
    <w:p>
      <w:pPr>
        <w:pStyle w:val="Normal"/>
        <w:spacing w:lineRule="auto" w:line="240"/>
        <w:jc w:val="both"/>
        <w:rPr>
          <w:sz w:val="20"/>
          <w:sz w:val="20"/>
          <w:rFonts w:ascii="Arial" w:hAnsi="Arial" w:eastAsia="Times New Roman" w:cs="Arial"/>
          <w:lang w:eastAsia="de-DE"/>
        </w:rPr>
      </w:pPr>
      <w:r>
        <w:rPr>
          <w:rFonts w:cs="Arial"/>
          <w:sz w:val="20"/>
        </w:rPr>
      </w:r>
      <w:r/>
    </w:p>
    <w:p>
      <w:pPr>
        <w:pStyle w:val="Normal"/>
        <w:spacing w:lineRule="auto" w:line="240"/>
        <w:jc w:val="both"/>
        <w:rPr>
          <w:sz w:val="20"/>
          <w:sz w:val="20"/>
          <w:rFonts w:cs="Arial"/>
        </w:rPr>
      </w:pPr>
      <w:r>
        <w:rPr>
          <w:rFonts w:cs="Arial"/>
          <w:sz w:val="20"/>
        </w:rPr>
        <w:t xml:space="preserve">Nach polizeilichen Erkenntnissen hat sich in St. Pauli im Bereich der Balduintreppe sowie der angrenzenden Straßen eine Szene aus Betäubungsmittel (BtM) -Händlern gebildet, die dort ganztägig Betäubungsmittel an Besucher des Vergnügungsviertels St. Pauli sowie an sonstige Konsumenten verkaufen. </w:t>
      </w:r>
      <w:r/>
    </w:p>
    <w:p>
      <w:pPr>
        <w:pStyle w:val="Normal"/>
        <w:spacing w:lineRule="auto" w:line="240"/>
        <w:jc w:val="both"/>
        <w:rPr>
          <w:sz w:val="20"/>
          <w:sz w:val="20"/>
          <w:rFonts w:ascii="Arial" w:hAnsi="Arial" w:eastAsia="Times New Roman" w:cs="Arial"/>
          <w:lang w:eastAsia="de-DE"/>
        </w:rPr>
      </w:pPr>
      <w:r>
        <w:rPr>
          <w:rFonts w:cs="Arial"/>
          <w:sz w:val="20"/>
        </w:rPr>
      </w:r>
      <w:r/>
    </w:p>
    <w:p>
      <w:pPr>
        <w:pStyle w:val="Normal"/>
        <w:spacing w:lineRule="auto" w:line="240"/>
        <w:jc w:val="both"/>
        <w:rPr>
          <w:sz w:val="20"/>
          <w:sz w:val="20"/>
          <w:rFonts w:cs="Arial"/>
        </w:rPr>
      </w:pPr>
      <w:r>
        <w:rPr>
          <w:rFonts w:cs="Arial"/>
          <w:sz w:val="20"/>
        </w:rPr>
        <w:t>Das betroffene Gebiet erstreckt sich über die Straßenzüge Bernhard-Nocht-Straße, Balduinstraße, Balduintreppe sowie teilweise Erichstraße, in den Nachtstunden bis zur Silbersackstraße.</w:t>
      </w:r>
      <w:r/>
    </w:p>
    <w:p>
      <w:pPr>
        <w:pStyle w:val="Normal"/>
        <w:spacing w:lineRule="auto" w:line="240"/>
        <w:jc w:val="both"/>
        <w:rPr>
          <w:sz w:val="20"/>
          <w:sz w:val="20"/>
          <w:rFonts w:ascii="Arial" w:hAnsi="Arial" w:eastAsia="Times New Roman" w:cs="Arial"/>
          <w:lang w:eastAsia="de-DE"/>
        </w:rPr>
      </w:pPr>
      <w:r>
        <w:rPr>
          <w:rFonts w:cs="Arial"/>
          <w:sz w:val="20"/>
        </w:rPr>
      </w:r>
      <w:r/>
    </w:p>
    <w:p>
      <w:pPr>
        <w:pStyle w:val="Normal"/>
        <w:spacing w:lineRule="auto" w:line="240"/>
        <w:jc w:val="both"/>
        <w:rPr>
          <w:sz w:val="20"/>
          <w:sz w:val="20"/>
          <w:rFonts w:cs="Arial"/>
        </w:rPr>
      </w:pPr>
      <w:r>
        <w:rPr>
          <w:rFonts w:cs="Arial"/>
          <w:sz w:val="20"/>
        </w:rPr>
        <w:t xml:space="preserve">Im genannten Gebiet werden täglich 15 bis 25 BtM-Händler und am Wochenende in der Spitze bis zu 30 BtM-Händler festgestellt, die zum Teil sehr offensiv Betäubungsmittel anbieten und sich dabei teilweise gegenüber Passanten und Anwohnern auch aggressiv verhalten. Es gibt dazu eine erhebliche Hinweislage von Anwohnern des betroffenen Gebiets gegenüber der Polizei. Darüber hinaus beschweren sich Gewerbetreibende und Anwohner, darunter auch Bewohner der sogenannten „Hafenstraßen-Häuser“ und die Schulleitung der Schule Friedrichstraße, bei der Polizei über die Anwesenheit der BtM-Händler. </w:t>
      </w:r>
      <w:r/>
    </w:p>
    <w:p>
      <w:pPr>
        <w:pStyle w:val="Normal"/>
        <w:spacing w:lineRule="auto" w:line="240"/>
        <w:jc w:val="both"/>
        <w:rPr>
          <w:sz w:val="20"/>
          <w:sz w:val="20"/>
          <w:rFonts w:cs="Arial"/>
        </w:rPr>
      </w:pPr>
      <w:r>
        <w:rPr>
          <w:rFonts w:cs="Arial"/>
          <w:sz w:val="20"/>
        </w:rPr>
        <w:t xml:space="preserve">An dem wahrnehmbaren BtM-Handel beteiligen sich nach den polizeilichen Erkenntnissen überwiegend Personen afrikanischer Herkunft. </w:t>
      </w:r>
      <w:r/>
    </w:p>
    <w:p>
      <w:pPr>
        <w:pStyle w:val="Normal"/>
        <w:spacing w:lineRule="auto" w:line="240"/>
        <w:jc w:val="both"/>
        <w:rPr>
          <w:sz w:val="20"/>
          <w:sz w:val="20"/>
          <w:rFonts w:ascii="Arial" w:hAnsi="Arial" w:eastAsia="Times New Roman" w:cs="Arial"/>
          <w:lang w:eastAsia="de-DE"/>
        </w:rPr>
      </w:pPr>
      <w:r>
        <w:rPr>
          <w:rFonts w:cs="Arial"/>
          <w:sz w:val="20"/>
        </w:rPr>
      </w:r>
      <w:r/>
    </w:p>
    <w:p>
      <w:pPr>
        <w:pStyle w:val="Normal"/>
        <w:spacing w:lineRule="auto" w:line="240"/>
        <w:jc w:val="both"/>
        <w:rPr>
          <w:sz w:val="20"/>
          <w:sz w:val="20"/>
          <w:rFonts w:cs="Arial"/>
        </w:rPr>
      </w:pPr>
      <w:r>
        <w:rPr>
          <w:rFonts w:cs="Arial"/>
          <w:sz w:val="20"/>
        </w:rPr>
        <w:t>Die Anzahl der in dem genannten Gebiet von der Polizei festgestellten BtM-Händler hat sich in den letzten Monaten stetig erhöht; siehe auch Drs. 20/13465. Aus diesem Grund führt die Polizei seit dem 20. April 2016 verstärkt Schwerpunkteinsätze zur Bekämpfung der öffentlich wahrnehmbaren Drogenkriminalität in den genannten Bereichen durch. Die Schwerpunkteinsätze werden sowohl mit repressivem Ansatz durch den gezielten Einsatz von Zivilfahndern als auch durch präventiv wirkende offensive Präsenzmaßnahmen uniformierter Kräfte durchgeführt.</w:t>
      </w:r>
      <w:r/>
    </w:p>
    <w:p>
      <w:pPr>
        <w:pStyle w:val="Normal"/>
        <w:spacing w:lineRule="auto" w:line="240"/>
        <w:jc w:val="both"/>
        <w:rPr>
          <w:sz w:val="20"/>
          <w:sz w:val="20"/>
          <w:rFonts w:ascii="Arial" w:hAnsi="Arial" w:eastAsia="Times New Roman" w:cs="Arial"/>
          <w:lang w:eastAsia="de-DE"/>
        </w:rPr>
      </w:pPr>
      <w:r>
        <w:rPr>
          <w:rFonts w:cs="Arial"/>
          <w:sz w:val="20"/>
        </w:rPr>
      </w:r>
      <w:r/>
    </w:p>
    <w:p>
      <w:pPr>
        <w:pStyle w:val="Normal"/>
        <w:spacing w:lineRule="auto" w:line="240"/>
        <w:jc w:val="both"/>
        <w:rPr>
          <w:sz w:val="20"/>
          <w:sz w:val="20"/>
          <w:rFonts w:cs="Arial"/>
        </w:rPr>
      </w:pPr>
      <w:r>
        <w:rPr>
          <w:rFonts w:cs="Arial"/>
          <w:sz w:val="20"/>
        </w:rPr>
        <w:t>Die vorgenannten Örtlichkeiten liegen innerhalb des eingerichteten Gefahrengebietes „BtM-Kriminalität St. Pauli“.</w:t>
      </w:r>
      <w:r/>
    </w:p>
    <w:p>
      <w:pPr>
        <w:pStyle w:val="Normal"/>
        <w:spacing w:lineRule="auto" w:line="240"/>
        <w:jc w:val="both"/>
        <w:rPr>
          <w:sz w:val="20"/>
          <w:sz w:val="20"/>
          <w:rFonts w:ascii="Arial" w:hAnsi="Arial" w:eastAsia="Times New Roman" w:cs="Arial"/>
          <w:lang w:eastAsia="de-DE"/>
        </w:rPr>
      </w:pPr>
      <w:r>
        <w:rPr>
          <w:rFonts w:cs="Arial"/>
          <w:sz w:val="20"/>
        </w:rPr>
      </w:r>
      <w:r/>
    </w:p>
    <w:p>
      <w:pPr>
        <w:pStyle w:val="Normal"/>
        <w:spacing w:lineRule="auto" w:line="240"/>
        <w:jc w:val="both"/>
        <w:rPr>
          <w:sz w:val="20"/>
          <w:sz w:val="20"/>
          <w:rFonts w:cs="Arial"/>
        </w:rPr>
      </w:pPr>
      <w:r>
        <w:rPr>
          <w:rFonts w:cs="Arial"/>
          <w:sz w:val="20"/>
        </w:rPr>
        <w:t>Adressaten gezielter polizeilicher Maßnahmen sind Personen, die aufgrund des Antreffortes und ihres Verhaltens als potenzielle BtM-Händler oder BtM-Erwerber (Konsumenten) wegen folgender Kriterien in Betracht kommen:</w:t>
      </w:r>
      <w:r/>
    </w:p>
    <w:p>
      <w:pPr>
        <w:pStyle w:val="Normal"/>
        <w:spacing w:lineRule="auto" w:line="240"/>
        <w:jc w:val="both"/>
        <w:rPr>
          <w:sz w:val="20"/>
          <w:sz w:val="20"/>
          <w:rFonts w:ascii="Arial" w:hAnsi="Arial" w:eastAsia="Times New Roman" w:cs="Arial"/>
          <w:lang w:eastAsia="de-DE"/>
        </w:rPr>
      </w:pPr>
      <w:r>
        <w:rPr>
          <w:rFonts w:cs="Arial"/>
          <w:sz w:val="20"/>
        </w:rPr>
      </w:r>
      <w:r/>
    </w:p>
    <w:p>
      <w:pPr>
        <w:pStyle w:val="Normal"/>
        <w:spacing w:lineRule="auto" w:line="240"/>
        <w:jc w:val="both"/>
        <w:rPr>
          <w:sz w:val="20"/>
          <w:sz w:val="20"/>
          <w:rFonts w:cs="Arial"/>
        </w:rPr>
      </w:pPr>
      <w:r>
        <w:rPr>
          <w:rFonts w:cs="Arial"/>
          <w:sz w:val="20"/>
        </w:rPr>
        <w:t xml:space="preserve">Potentielle BtM-Händler, </w:t>
      </w:r>
      <w:r/>
    </w:p>
    <w:p>
      <w:pPr>
        <w:pStyle w:val="Normal"/>
        <w:spacing w:lineRule="auto" w:line="240"/>
        <w:jc w:val="both"/>
        <w:rPr>
          <w:sz w:val="20"/>
          <w:sz w:val="20"/>
          <w:rFonts w:cs="Arial"/>
        </w:rPr>
      </w:pPr>
      <w:r>
        <w:rPr>
          <w:rFonts w:cs="Arial"/>
          <w:sz w:val="20"/>
        </w:rPr>
        <w:t>-</w:t>
        <w:tab/>
        <w:t>die im Alter zwischen 16 und 40 Jahren sind oder</w:t>
      </w:r>
      <w:r/>
    </w:p>
    <w:p>
      <w:pPr>
        <w:pStyle w:val="Normal"/>
        <w:spacing w:lineRule="auto" w:line="240"/>
        <w:jc w:val="both"/>
        <w:rPr>
          <w:sz w:val="20"/>
          <w:sz w:val="20"/>
          <w:rFonts w:cs="Arial"/>
        </w:rPr>
      </w:pPr>
      <w:r>
        <w:rPr>
          <w:rFonts w:cs="Arial"/>
          <w:sz w:val="20"/>
        </w:rPr>
        <w:t>-</w:t>
        <w:tab/>
        <w:t>die im Gefahrengebiet aktiv auf potentielle Btm-Erwerber zugehen oder</w:t>
      </w:r>
      <w:r/>
    </w:p>
    <w:p>
      <w:pPr>
        <w:pStyle w:val="Normal"/>
        <w:spacing w:lineRule="auto" w:line="240"/>
        <w:jc w:val="both"/>
        <w:rPr>
          <w:sz w:val="20"/>
          <w:sz w:val="20"/>
          <w:rFonts w:cs="Arial"/>
        </w:rPr>
      </w:pPr>
      <w:r>
        <w:rPr>
          <w:rFonts w:cs="Arial"/>
          <w:sz w:val="20"/>
        </w:rPr>
        <w:t>-</w:t>
        <w:tab/>
        <w:t>die durchgängige Präsenz zeigen und sich in großen Teilen des Gefahrengebietes bewegen oder</w:t>
      </w:r>
      <w:r/>
    </w:p>
    <w:p>
      <w:pPr>
        <w:pStyle w:val="Normal"/>
        <w:spacing w:lineRule="auto" w:line="240"/>
        <w:jc w:val="both"/>
        <w:rPr>
          <w:sz w:val="20"/>
          <w:sz w:val="20"/>
          <w:rFonts w:cs="Arial"/>
        </w:rPr>
      </w:pPr>
      <w:r>
        <w:rPr>
          <w:rFonts w:cs="Arial"/>
          <w:sz w:val="20"/>
        </w:rPr>
        <w:t>-</w:t>
        <w:tab/>
        <w:t xml:space="preserve">die ein konspiratives Verhalten zeigen, indem sie arbeitsteilig vorgehen, sich gegenseitig </w:t>
        <w:tab/>
        <w:t>abschirmen und eine Gegenaufklärung durchführen oder</w:t>
      </w:r>
      <w:r/>
    </w:p>
    <w:p>
      <w:pPr>
        <w:pStyle w:val="Normal"/>
        <w:spacing w:lineRule="auto" w:line="240"/>
        <w:jc w:val="both"/>
        <w:rPr>
          <w:sz w:val="20"/>
          <w:sz w:val="20"/>
          <w:rFonts w:cs="Arial"/>
        </w:rPr>
      </w:pPr>
      <w:r>
        <w:rPr>
          <w:rFonts w:cs="Arial"/>
          <w:sz w:val="20"/>
        </w:rPr>
        <w:t>-</w:t>
        <w:tab/>
        <w:t>die ein ausgeprägtes Fluchtverhalten gegenüber der Polizei zeigen.</w:t>
      </w:r>
      <w:r/>
    </w:p>
    <w:p>
      <w:pPr>
        <w:pStyle w:val="Normal"/>
        <w:spacing w:lineRule="auto" w:line="240"/>
        <w:jc w:val="both"/>
        <w:rPr>
          <w:sz w:val="20"/>
          <w:sz w:val="20"/>
          <w:rFonts w:ascii="Arial" w:hAnsi="Arial" w:eastAsia="Times New Roman" w:cs="Arial"/>
          <w:lang w:eastAsia="de-DE"/>
        </w:rPr>
      </w:pPr>
      <w:r>
        <w:rPr>
          <w:rFonts w:cs="Arial"/>
          <w:sz w:val="20"/>
        </w:rPr>
      </w:r>
      <w:r/>
    </w:p>
    <w:p>
      <w:pPr>
        <w:pStyle w:val="Normal"/>
        <w:spacing w:lineRule="auto" w:line="240"/>
        <w:jc w:val="both"/>
        <w:rPr>
          <w:sz w:val="20"/>
          <w:sz w:val="20"/>
          <w:rFonts w:cs="Arial"/>
        </w:rPr>
      </w:pPr>
      <w:r>
        <w:rPr>
          <w:rFonts w:cs="Arial"/>
          <w:sz w:val="20"/>
        </w:rPr>
        <w:t xml:space="preserve">Potentielle Btm-Erwerber, </w:t>
      </w:r>
      <w:r/>
    </w:p>
    <w:p>
      <w:pPr>
        <w:pStyle w:val="Normal"/>
        <w:spacing w:lineRule="auto" w:line="240"/>
        <w:jc w:val="both"/>
        <w:rPr>
          <w:sz w:val="20"/>
          <w:sz w:val="20"/>
          <w:rFonts w:cs="Arial"/>
        </w:rPr>
      </w:pPr>
      <w:r>
        <w:rPr>
          <w:rFonts w:cs="Arial"/>
          <w:sz w:val="20"/>
        </w:rPr>
        <w:t>-</w:t>
        <w:tab/>
        <w:t>die bekannte Örtlichkeiten aufsuchen, an denen sich Btm-Dealer aufhalten</w:t>
      </w:r>
      <w:r/>
    </w:p>
    <w:p>
      <w:pPr>
        <w:pStyle w:val="Normal"/>
        <w:spacing w:lineRule="auto" w:line="240"/>
        <w:jc w:val="both"/>
        <w:rPr>
          <w:sz w:val="20"/>
          <w:sz w:val="20"/>
          <w:rFonts w:cs="Arial"/>
        </w:rPr>
      </w:pPr>
      <w:r>
        <w:rPr>
          <w:rFonts w:cs="Arial"/>
          <w:sz w:val="20"/>
        </w:rPr>
        <w:t>-</w:t>
        <w:tab/>
        <w:t>die konspiratives Verhalten bei der Ausschau nach Btm-Dealern zeigen.</w:t>
      </w:r>
      <w:r/>
    </w:p>
    <w:p>
      <w:pPr>
        <w:pStyle w:val="Normal"/>
        <w:spacing w:lineRule="auto" w:line="240"/>
        <w:jc w:val="both"/>
        <w:rPr>
          <w:sz w:val="20"/>
          <w:sz w:val="20"/>
          <w:rFonts w:ascii="Arial" w:hAnsi="Arial" w:eastAsia="Times New Roman" w:cs="Arial"/>
          <w:lang w:eastAsia="de-DE"/>
        </w:rPr>
      </w:pPr>
      <w:r>
        <w:rPr>
          <w:rFonts w:cs="Arial"/>
          <w:sz w:val="20"/>
        </w:rPr>
      </w:r>
      <w:r/>
    </w:p>
    <w:p>
      <w:pPr>
        <w:pStyle w:val="Normal"/>
        <w:spacing w:lineRule="auto" w:line="240"/>
        <w:jc w:val="both"/>
        <w:rPr>
          <w:sz w:val="20"/>
          <w:sz w:val="20"/>
          <w:rFonts w:cs="Arial"/>
        </w:rPr>
      </w:pPr>
      <w:r>
        <w:rPr>
          <w:rFonts w:cs="Arial"/>
          <w:sz w:val="20"/>
        </w:rPr>
        <w:t>Im Übrigen handelt die Polizei nach rechtsstaatlichen und verfassungsgemäßen Grundsätzen; dabei sind die Herkunft und/oder die Hautfarbe von Personen keine Kriterien für polizeiliches Einschreiten.</w:t>
      </w:r>
      <w:r/>
    </w:p>
    <w:p>
      <w:pPr>
        <w:pStyle w:val="Normal"/>
        <w:spacing w:lineRule="auto" w:line="240"/>
        <w:jc w:val="both"/>
        <w:rPr>
          <w:sz w:val="20"/>
          <w:sz w:val="20"/>
          <w:rFonts w:cs="Arial"/>
        </w:rPr>
      </w:pPr>
      <w:r>
        <w:rPr>
          <w:rFonts w:cs="Arial"/>
          <w:sz w:val="20"/>
        </w:rPr>
        <w:t>Seit mehreren Monaten werden polizeiliche Maßnahmen gegen tatverdächtige BtM-Dealer im Bereich der Balduintreppe immer wieder durch verbale Proteste von in der Spitze bis zu 30 Personen aus dem Umfeld der sogenannten „Hafenstraßen-Häuser“ gestört. Die einschreitenden Polizeibeamten werden zum Teil auch physisch bedrängt und die Personen versuchen, die Polizeibeamtinnen und -beamten mit verbalen Äußerungen von ihrem Handeln abzuhalten. Soweit Personen Maßnahmen der Polizei für rechtswidrig halten, sollten sie unter Angabe ihrer Personalien den konkreten Sachverhalt benennen. Nur dann sind sinnvolle Prüfungen möglich.</w:t>
      </w:r>
      <w:r/>
    </w:p>
    <w:p>
      <w:pPr>
        <w:pStyle w:val="Normal"/>
        <w:spacing w:lineRule="auto" w:line="240"/>
        <w:jc w:val="both"/>
        <w:rPr>
          <w:sz w:val="20"/>
          <w:sz w:val="20"/>
          <w:rFonts w:ascii="Arial" w:hAnsi="Arial" w:eastAsia="Times New Roman" w:cs="Arial"/>
          <w:lang w:eastAsia="de-DE"/>
        </w:rPr>
      </w:pPr>
      <w:r>
        <w:rPr>
          <w:rFonts w:cs="Arial"/>
          <w:sz w:val="20"/>
        </w:rPr>
      </w:r>
      <w:r/>
    </w:p>
    <w:p>
      <w:pPr>
        <w:pStyle w:val="Normal"/>
        <w:spacing w:lineRule="auto" w:line="240"/>
        <w:jc w:val="both"/>
        <w:rPr>
          <w:sz w:val="20"/>
          <w:sz w:val="20"/>
          <w:rFonts w:cs="Arial"/>
        </w:rPr>
      </w:pPr>
      <w:r>
        <w:rPr>
          <w:rFonts w:cs="Arial"/>
          <w:sz w:val="20"/>
        </w:rPr>
        <w:t>Dies vorausgeschickt, beantwortet der Senat die Fragen wie folgt:</w:t>
      </w:r>
      <w:r/>
    </w:p>
    <w:p>
      <w:pPr>
        <w:pStyle w:val="Normal"/>
        <w:spacing w:lineRule="auto" w:line="240"/>
        <w:jc w:val="both"/>
        <w:rPr>
          <w:sz w:val="20"/>
          <w:sz w:val="20"/>
          <w:rFonts w:ascii="Arial" w:hAnsi="Arial" w:eastAsia="Times New Roman" w:cs="Arial"/>
          <w:lang w:eastAsia="de-DE"/>
        </w:rPr>
      </w:pPr>
      <w:r>
        <w:rPr>
          <w:rFonts w:cs="Arial"/>
          <w:sz w:val="20"/>
        </w:rPr>
      </w:r>
      <w:r/>
    </w:p>
    <w:p>
      <w:pPr>
        <w:pStyle w:val="Normal"/>
        <w:spacing w:lineRule="auto" w:line="240"/>
        <w:jc w:val="both"/>
        <w:rPr>
          <w:sz w:val="20"/>
          <w:sz w:val="20"/>
          <w:rFonts w:ascii="Arial" w:hAnsi="Arial" w:eastAsia="Times New Roman" w:cs="Arial"/>
          <w:lang w:eastAsia="de-DE"/>
        </w:rPr>
      </w:pPr>
      <w:r>
        <w:rPr>
          <w:rFonts w:cs="Arial"/>
          <w:sz w:val="20"/>
        </w:rPr>
      </w:r>
      <w:r/>
    </w:p>
    <w:p>
      <w:pPr>
        <w:pStyle w:val="VorformatierterText"/>
        <w:ind w:left="1137" w:hanging="13"/>
        <w:rPr>
          <w:i/>
          <w:i/>
          <w:rFonts w:ascii="Arial" w:hAnsi="Arial" w:cs="Arial"/>
        </w:rPr>
      </w:pPr>
      <w:r>
        <w:rPr>
          <w:rFonts w:cs="Arial" w:ascii="Arial" w:hAnsi="Arial"/>
          <w:i/>
        </w:rPr>
        <w:t>1.  Hält der Senat die Praxis der Polizei in der Umgebung der Hafenstraße für Racial Profiling?</w:t>
      </w:r>
      <w:r/>
    </w:p>
    <w:p>
      <w:pPr>
        <w:pStyle w:val="VorformatierterText"/>
        <w:ind w:left="1137" w:hanging="0"/>
        <w:rPr>
          <w:i/>
          <w:i/>
          <w:rFonts w:ascii="Arial" w:hAnsi="Arial" w:cs="Arial"/>
        </w:rPr>
      </w:pPr>
      <w:r>
        <w:rPr>
          <w:rFonts w:cs="Arial" w:ascii="Arial" w:hAnsi="Arial"/>
          <w:i/>
        </w:rPr>
        <w:t>Wenn Ja: Warum unterbindet er diese Praxis nicht?</w:t>
      </w:r>
      <w:r/>
    </w:p>
    <w:p>
      <w:pPr>
        <w:pStyle w:val="VorformatierterText"/>
        <w:ind w:left="1137" w:hanging="0"/>
        <w:rPr>
          <w:i/>
          <w:i/>
          <w:rFonts w:ascii="Arial" w:hAnsi="Arial" w:cs="Arial"/>
        </w:rPr>
      </w:pPr>
      <w:r>
        <w:rPr>
          <w:rFonts w:cs="Arial" w:ascii="Arial" w:hAnsi="Arial"/>
          <w:i/>
        </w:rPr>
        <w:t>Wenn Nein: Wie erklärt sich der Senat die Aussagen einzelner Beamte die eingestehen nach der Hautfarbe zu kontrollieren?</w:t>
      </w:r>
      <w:r/>
    </w:p>
    <w:p>
      <w:pPr>
        <w:pStyle w:val="VorformatierterText"/>
        <w:rPr>
          <w:sz w:val="20"/>
          <w:sz w:val="20"/>
          <w:rFonts w:ascii="Arial" w:hAnsi="Arial" w:eastAsia="Courier New" w:cs="Arial"/>
          <w:lang w:eastAsia="ar-SA"/>
        </w:rPr>
      </w:pPr>
      <w:r>
        <w:rPr>
          <w:rFonts w:cs="Arial" w:ascii="Arial" w:hAnsi="Arial"/>
        </w:rPr>
      </w:r>
      <w:r/>
    </w:p>
    <w:p>
      <w:pPr>
        <w:pStyle w:val="Normal"/>
        <w:spacing w:lineRule="auto" w:line="240"/>
        <w:jc w:val="both"/>
        <w:rPr>
          <w:sz w:val="20"/>
          <w:sz w:val="20"/>
          <w:rFonts w:cs="Arial"/>
        </w:rPr>
      </w:pPr>
      <w:r>
        <w:rPr>
          <w:rFonts w:cs="Arial"/>
          <w:sz w:val="20"/>
        </w:rPr>
        <w:t>Nein; darüber hinaus nimmt die Polizei zu angeblichen Äußerungen einzelner Beamter keine Stellung. Im Übrigen siehe Vorbemerkung.</w:t>
      </w:r>
      <w:r/>
    </w:p>
    <w:p>
      <w:pPr>
        <w:pStyle w:val="Normal"/>
        <w:spacing w:lineRule="auto" w:line="240"/>
        <w:jc w:val="both"/>
        <w:rPr>
          <w:sz w:val="20"/>
          <w:sz w:val="20"/>
          <w:rFonts w:ascii="Arial" w:hAnsi="Arial" w:eastAsia="Times New Roman" w:cs="Arial"/>
          <w:lang w:eastAsia="de-DE"/>
        </w:rPr>
      </w:pPr>
      <w:r>
        <w:rPr>
          <w:rFonts w:cs="Arial"/>
          <w:sz w:val="20"/>
        </w:rPr>
      </w:r>
      <w:r/>
    </w:p>
    <w:p>
      <w:pPr>
        <w:pStyle w:val="VorformatierterText"/>
        <w:rPr>
          <w:sz w:val="20"/>
          <w:sz w:val="20"/>
          <w:rFonts w:ascii="Arial" w:hAnsi="Arial" w:eastAsia="Courier New" w:cs="Arial"/>
          <w:lang w:eastAsia="ar-SA"/>
        </w:rPr>
      </w:pPr>
      <w:r>
        <w:rPr>
          <w:rFonts w:cs="Arial" w:ascii="Arial" w:hAnsi="Arial"/>
        </w:rPr>
      </w:r>
      <w:r/>
    </w:p>
    <w:p>
      <w:pPr>
        <w:pStyle w:val="VorformatierterText"/>
        <w:ind w:left="1137" w:hanging="0"/>
        <w:rPr>
          <w:i/>
          <w:i/>
          <w:rFonts w:ascii="Arial" w:hAnsi="Arial" w:cs="Arial"/>
        </w:rPr>
      </w:pPr>
      <w:r>
        <w:rPr>
          <w:rFonts w:cs="Arial" w:ascii="Arial" w:hAnsi="Arial"/>
          <w:i/>
        </w:rPr>
        <w:t xml:space="preserve">2.  Ist dem Senat bekannt , dass immer wieder völlig unnötige Gewalt durch Polizeibeamte bei den Kontrollen angewandt wird (eine Vielzahl von AugenzeugInnen berichtet dies)? </w:t>
      </w:r>
      <w:r/>
    </w:p>
    <w:p>
      <w:pPr>
        <w:pStyle w:val="VorformatierterText"/>
        <w:ind w:left="1137" w:hanging="0"/>
        <w:rPr>
          <w:i/>
          <w:i/>
          <w:rFonts w:ascii="Arial" w:hAnsi="Arial" w:cs="Arial"/>
        </w:rPr>
      </w:pPr>
      <w:r>
        <w:rPr>
          <w:rFonts w:cs="Arial" w:ascii="Arial" w:hAnsi="Arial"/>
          <w:i/>
        </w:rPr>
        <w:t>Wenn Ja: Warum unterbindet er diese Praxis nicht?</w:t>
      </w:r>
      <w:r/>
    </w:p>
    <w:p>
      <w:pPr>
        <w:pStyle w:val="VorformatierterText"/>
        <w:ind w:left="1137" w:hanging="0"/>
        <w:rPr>
          <w:i/>
          <w:i/>
          <w:rFonts w:ascii="Arial" w:hAnsi="Arial" w:cs="Arial"/>
        </w:rPr>
      </w:pPr>
      <w:r>
        <w:rPr>
          <w:rFonts w:cs="Arial" w:ascii="Arial" w:hAnsi="Arial"/>
          <w:i/>
        </w:rPr>
        <w:t>Wenn Nein: Warum?</w:t>
      </w:r>
      <w:r/>
    </w:p>
    <w:p>
      <w:pPr>
        <w:pStyle w:val="VorformatierterText"/>
        <w:rPr>
          <w:sz w:val="20"/>
          <w:sz w:val="20"/>
          <w:rFonts w:ascii="Arial" w:hAnsi="Arial" w:eastAsia="Courier New" w:cs="Arial"/>
          <w:lang w:eastAsia="ar-SA"/>
        </w:rPr>
      </w:pPr>
      <w:r>
        <w:rPr>
          <w:rFonts w:cs="Arial" w:ascii="Arial" w:hAnsi="Arial"/>
        </w:rPr>
      </w:r>
      <w:r/>
    </w:p>
    <w:p>
      <w:pPr>
        <w:pStyle w:val="Normal"/>
        <w:spacing w:lineRule="auto" w:line="240"/>
        <w:jc w:val="both"/>
        <w:rPr>
          <w:sz w:val="20"/>
          <w:sz w:val="20"/>
          <w:rFonts w:cs="Arial"/>
        </w:rPr>
      </w:pPr>
      <w:r>
        <w:rPr>
          <w:rFonts w:cs="Arial"/>
          <w:sz w:val="20"/>
        </w:rPr>
        <w:t>Erkenntnisse im Sinne der Fragestellung liegen der Polizei nicht vor; im Übrigen siehe Vorbemerkung.</w:t>
      </w:r>
      <w:r/>
    </w:p>
    <w:p>
      <w:pPr>
        <w:pStyle w:val="VorformatierterText"/>
        <w:rPr>
          <w:sz w:val="20"/>
          <w:sz w:val="20"/>
          <w:rFonts w:ascii="Arial" w:hAnsi="Arial" w:eastAsia="Courier New" w:cs="Arial"/>
          <w:lang w:eastAsia="ar-SA"/>
        </w:rPr>
      </w:pPr>
      <w:r>
        <w:rPr>
          <w:rFonts w:cs="Arial" w:ascii="Arial" w:hAnsi="Arial"/>
        </w:rPr>
      </w:r>
      <w:r/>
    </w:p>
    <w:p>
      <w:pPr>
        <w:pStyle w:val="VorformatierterText"/>
        <w:rPr>
          <w:sz w:val="20"/>
          <w:sz w:val="20"/>
          <w:rFonts w:ascii="Arial" w:hAnsi="Arial" w:eastAsia="Courier New" w:cs="Arial"/>
          <w:lang w:eastAsia="ar-SA"/>
        </w:rPr>
      </w:pPr>
      <w:r>
        <w:rPr>
          <w:rFonts w:cs="Arial" w:ascii="Arial" w:hAnsi="Arial"/>
        </w:rPr>
      </w:r>
      <w:r/>
    </w:p>
    <w:p>
      <w:pPr>
        <w:pStyle w:val="VorformatierterText"/>
        <w:ind w:left="1137" w:hanging="0"/>
        <w:rPr>
          <w:i/>
          <w:i/>
          <w:rFonts w:ascii="Arial" w:hAnsi="Arial" w:cs="Arial"/>
        </w:rPr>
      </w:pPr>
      <w:r>
        <w:rPr>
          <w:rFonts w:cs="Arial" w:ascii="Arial" w:hAnsi="Arial"/>
          <w:i/>
        </w:rPr>
        <w:t>3.  Wie schätzt der Senat die Bedrohungslage im betreffenden Gebiet ein?</w:t>
      </w:r>
      <w:r/>
    </w:p>
    <w:p>
      <w:pPr>
        <w:pStyle w:val="VorformatierterText"/>
        <w:ind w:left="1137" w:hanging="0"/>
        <w:rPr>
          <w:i/>
          <w:i/>
          <w:rFonts w:ascii="Arial" w:hAnsi="Arial" w:cs="Arial"/>
        </w:rPr>
      </w:pPr>
      <w:r>
        <w:rPr>
          <w:rFonts w:cs="Arial" w:ascii="Arial" w:hAnsi="Arial"/>
          <w:i/>
        </w:rPr>
        <w:t>4.  Hat sich die Bedrohung nach Meinung des Senats in den letzten Wochen verschärft?</w:t>
      </w:r>
      <w:r/>
    </w:p>
    <w:p>
      <w:pPr>
        <w:pStyle w:val="VorformatierterText"/>
        <w:rPr>
          <w:sz w:val="20"/>
          <w:sz w:val="20"/>
          <w:rFonts w:ascii="Arial" w:hAnsi="Arial" w:eastAsia="Courier New" w:cs="Arial"/>
          <w:lang w:eastAsia="ar-SA"/>
        </w:rPr>
      </w:pPr>
      <w:r>
        <w:rPr>
          <w:rFonts w:cs="Arial" w:ascii="Arial" w:hAnsi="Arial"/>
        </w:rPr>
      </w:r>
      <w:r/>
    </w:p>
    <w:p>
      <w:pPr>
        <w:pStyle w:val="Normal"/>
        <w:spacing w:lineRule="auto" w:line="240"/>
        <w:jc w:val="both"/>
        <w:rPr>
          <w:sz w:val="20"/>
          <w:sz w:val="20"/>
          <w:rFonts w:cs="Arial"/>
          <w:color w:val="000000" w:themeColor="text1"/>
        </w:rPr>
      </w:pPr>
      <w:r>
        <w:rPr>
          <w:rFonts w:cs="Arial"/>
          <w:sz w:val="20"/>
        </w:rPr>
        <w:t xml:space="preserve">Siehe Vorbemerkung. </w:t>
      </w:r>
      <w:r/>
    </w:p>
    <w:p>
      <w:pPr>
        <w:pStyle w:val="VorformatierterText"/>
        <w:rPr>
          <w:sz w:val="20"/>
          <w:sz w:val="20"/>
          <w:rFonts w:ascii="Arial" w:hAnsi="Arial" w:eastAsia="Courier New" w:cs="Arial"/>
          <w:lang w:eastAsia="ar-SA"/>
        </w:rPr>
      </w:pPr>
      <w:r>
        <w:rPr>
          <w:rFonts w:cs="Arial" w:ascii="Arial" w:hAnsi="Arial"/>
        </w:rPr>
      </w:r>
      <w:r/>
    </w:p>
    <w:p>
      <w:pPr>
        <w:pStyle w:val="VorformatierterText"/>
        <w:rPr>
          <w:sz w:val="20"/>
          <w:sz w:val="20"/>
          <w:rFonts w:ascii="Arial" w:hAnsi="Arial" w:eastAsia="Courier New" w:cs="Arial"/>
          <w:lang w:eastAsia="ar-SA"/>
        </w:rPr>
      </w:pPr>
      <w:r>
        <w:rPr>
          <w:rFonts w:cs="Arial" w:ascii="Arial" w:hAnsi="Arial"/>
        </w:rPr>
      </w:r>
      <w:r/>
    </w:p>
    <w:p>
      <w:pPr>
        <w:pStyle w:val="VorformatierterText"/>
        <w:ind w:left="1137" w:hanging="0"/>
        <w:rPr>
          <w:i/>
          <w:i/>
          <w:rFonts w:ascii="Arial" w:hAnsi="Arial" w:cs="Arial"/>
        </w:rPr>
      </w:pPr>
      <w:r>
        <w:rPr>
          <w:rFonts w:cs="Arial" w:ascii="Arial" w:hAnsi="Arial"/>
          <w:i/>
        </w:rPr>
        <w:t>5.  Auf welcher gesetzlichen Grundlage wird in dem o.g. Gebiet momentan kontrolliert?</w:t>
      </w:r>
      <w:r/>
    </w:p>
    <w:p>
      <w:pPr>
        <w:pStyle w:val="VorformatierterText"/>
        <w:rPr>
          <w:sz w:val="20"/>
          <w:sz w:val="20"/>
          <w:rFonts w:ascii="Arial" w:hAnsi="Arial" w:eastAsia="Courier New" w:cs="Arial"/>
          <w:lang w:eastAsia="ar-SA"/>
        </w:rPr>
      </w:pPr>
      <w:r>
        <w:rPr>
          <w:rFonts w:cs="Arial" w:ascii="Arial" w:hAnsi="Arial"/>
        </w:rPr>
      </w:r>
      <w:r/>
    </w:p>
    <w:p>
      <w:pPr>
        <w:pStyle w:val="Normal"/>
        <w:spacing w:lineRule="auto" w:line="240"/>
        <w:jc w:val="both"/>
        <w:rPr>
          <w:sz w:val="20"/>
          <w:sz w:val="20"/>
          <w:rFonts w:cs="Arial"/>
        </w:rPr>
      </w:pPr>
      <w:r>
        <w:rPr>
          <w:rFonts w:cs="Arial"/>
          <w:sz w:val="20"/>
        </w:rPr>
        <w:t>Siehe Drs. 20/13465.</w:t>
      </w:r>
      <w:r/>
    </w:p>
    <w:p>
      <w:pPr>
        <w:pStyle w:val="Normal"/>
        <w:spacing w:lineRule="auto" w:line="240"/>
        <w:jc w:val="both"/>
        <w:rPr>
          <w:sz w:val="20"/>
          <w:sz w:val="20"/>
          <w:rFonts w:ascii="Arial" w:hAnsi="Arial" w:eastAsia="Times New Roman" w:cs="Arial"/>
          <w:lang w:eastAsia="de-DE"/>
        </w:rPr>
      </w:pPr>
      <w:r>
        <w:rPr>
          <w:rFonts w:cs="Arial"/>
          <w:sz w:val="20"/>
        </w:rPr>
      </w:r>
      <w:r/>
    </w:p>
    <w:p>
      <w:pPr>
        <w:pStyle w:val="VorformatierterText"/>
        <w:rPr>
          <w:sz w:val="20"/>
          <w:sz w:val="20"/>
          <w:rFonts w:ascii="Arial" w:hAnsi="Arial" w:eastAsia="Courier New" w:cs="Arial"/>
          <w:lang w:eastAsia="ar-SA"/>
        </w:rPr>
      </w:pPr>
      <w:r>
        <w:rPr>
          <w:rFonts w:cs="Arial" w:ascii="Arial" w:hAnsi="Arial"/>
        </w:rPr>
      </w:r>
      <w:r/>
    </w:p>
    <w:p>
      <w:pPr>
        <w:pStyle w:val="VorformatierterText"/>
        <w:ind w:left="1137" w:hanging="0"/>
        <w:rPr>
          <w:i/>
          <w:i/>
          <w:rFonts w:ascii="Arial" w:hAnsi="Arial" w:cs="Arial"/>
        </w:rPr>
      </w:pPr>
      <w:r>
        <w:rPr>
          <w:rFonts w:cs="Arial" w:ascii="Arial" w:hAnsi="Arial"/>
          <w:i/>
        </w:rPr>
        <w:t>6.  Auf welcher gesetzlichen Grundlage entscheiden welche Polizeidienststellen über die Einsätze in der Hafenstraße und welche weiteren Dienststellen werden davon ins Benehmen gesetzt?</w:t>
      </w:r>
      <w:r/>
    </w:p>
    <w:p>
      <w:pPr>
        <w:pStyle w:val="VorformatierterText"/>
        <w:rPr>
          <w:sz w:val="20"/>
          <w:sz w:val="20"/>
          <w:rFonts w:ascii="Arial" w:hAnsi="Arial" w:eastAsia="Courier New" w:cs="Arial"/>
          <w:lang w:eastAsia="ar-SA"/>
        </w:rPr>
      </w:pPr>
      <w:r>
        <w:rPr>
          <w:rFonts w:cs="Arial" w:ascii="Arial" w:hAnsi="Arial"/>
        </w:rPr>
      </w:r>
      <w:r/>
    </w:p>
    <w:p>
      <w:pPr>
        <w:pStyle w:val="Normal"/>
        <w:spacing w:lineRule="auto" w:line="240"/>
        <w:jc w:val="both"/>
        <w:rPr>
          <w:sz w:val="20"/>
          <w:sz w:val="20"/>
          <w:rFonts w:cs="Arial"/>
        </w:rPr>
      </w:pPr>
      <w:r>
        <w:rPr>
          <w:rFonts w:cs="Arial"/>
          <w:sz w:val="20"/>
        </w:rPr>
        <w:t xml:space="preserve">Die Verfolgung von Straftaten und die Abwehr von Gefahren für die öffentliche Sicherheit und Ordnung gehören zu den gesetzlichen Aufgaben der Polizei. </w:t>
      </w:r>
      <w:r/>
    </w:p>
    <w:p>
      <w:pPr>
        <w:pStyle w:val="Normal"/>
        <w:spacing w:lineRule="auto" w:line="240"/>
        <w:jc w:val="both"/>
        <w:rPr>
          <w:sz w:val="20"/>
          <w:sz w:val="20"/>
          <w:rFonts w:ascii="Arial" w:hAnsi="Arial" w:eastAsia="Times New Roman" w:cs="Arial"/>
          <w:lang w:eastAsia="de-DE"/>
        </w:rPr>
      </w:pPr>
      <w:r>
        <w:rPr>
          <w:rFonts w:cs="Arial"/>
          <w:sz w:val="20"/>
        </w:rPr>
      </w:r>
      <w:r/>
    </w:p>
    <w:p>
      <w:pPr>
        <w:pStyle w:val="Normal"/>
        <w:spacing w:lineRule="auto" w:line="240"/>
        <w:jc w:val="both"/>
        <w:rPr>
          <w:sz w:val="20"/>
          <w:sz w:val="20"/>
          <w:rFonts w:cs="Arial"/>
        </w:rPr>
      </w:pPr>
      <w:r>
        <w:rPr>
          <w:rFonts w:cs="Arial"/>
          <w:sz w:val="20"/>
        </w:rPr>
        <w:t>Die Aufgabenzuweisung zur Strafverfolgung ergibt sich aus der Strafprozessordnung (StPO), die Durchführung von Maßnahmen zur Gefahrenabwehr ergeben sich aus dem Gesetz zum Schutz der öffentlichen Sicherheit und Ordnung (SOG) sowie dem Gesetz über die Datenverarbeitung der Polizei (PolDVG).</w:t>
      </w:r>
      <w:r/>
    </w:p>
    <w:p>
      <w:pPr>
        <w:pStyle w:val="Normal"/>
        <w:spacing w:lineRule="auto" w:line="240"/>
        <w:jc w:val="both"/>
        <w:rPr>
          <w:sz w:val="20"/>
          <w:sz w:val="20"/>
          <w:rFonts w:ascii="Arial" w:hAnsi="Arial" w:eastAsia="Times New Roman" w:cs="Arial"/>
          <w:lang w:eastAsia="de-DE"/>
        </w:rPr>
      </w:pPr>
      <w:r>
        <w:rPr>
          <w:rFonts w:cs="Arial"/>
          <w:sz w:val="20"/>
        </w:rPr>
      </w:r>
      <w:r/>
    </w:p>
    <w:p>
      <w:pPr>
        <w:pStyle w:val="Normal"/>
        <w:spacing w:lineRule="auto" w:line="240"/>
        <w:jc w:val="both"/>
        <w:rPr>
          <w:sz w:val="20"/>
          <w:sz w:val="20"/>
          <w:rFonts w:cs="Arial"/>
        </w:rPr>
      </w:pPr>
      <w:r>
        <w:rPr>
          <w:rFonts w:cs="Arial"/>
          <w:sz w:val="20"/>
        </w:rPr>
        <w:t>Das örtlich zuständige Polizeikommissariat (PK) 15 beziehungsweise die jeweils einsatzführende Dienststelle setzt die vorhandenen personellen Ressourcen im Rahmen aktueller Lageerkenntnisse und unter Berücksichtigung der erforderlichen Prioritätensetzungen ein.</w:t>
      </w:r>
      <w:r/>
    </w:p>
    <w:p>
      <w:pPr>
        <w:pStyle w:val="Normal"/>
        <w:spacing w:lineRule="auto" w:line="240"/>
        <w:jc w:val="both"/>
        <w:rPr>
          <w:sz w:val="20"/>
          <w:sz w:val="20"/>
          <w:rFonts w:ascii="Arial" w:hAnsi="Arial" w:eastAsia="Times New Roman" w:cs="Arial"/>
          <w:lang w:eastAsia="de-DE"/>
        </w:rPr>
      </w:pPr>
      <w:r>
        <w:rPr>
          <w:rFonts w:cs="Arial"/>
          <w:sz w:val="20"/>
        </w:rPr>
      </w:r>
      <w:r/>
    </w:p>
    <w:p>
      <w:pPr>
        <w:pStyle w:val="Normal"/>
        <w:spacing w:lineRule="auto" w:line="240"/>
        <w:jc w:val="both"/>
        <w:rPr>
          <w:sz w:val="20"/>
          <w:sz w:val="20"/>
          <w:rFonts w:cs="Arial"/>
        </w:rPr>
      </w:pPr>
      <w:r>
        <w:rPr>
          <w:rFonts w:cs="Arial"/>
          <w:sz w:val="20"/>
        </w:rPr>
        <w:t>Über Einsätze im Sinne der Fragestellung werden regelhaft folgende Polizeidienststellen informiert:</w:t>
      </w:r>
      <w:r/>
    </w:p>
    <w:p>
      <w:pPr>
        <w:pStyle w:val="ListParagraph"/>
        <w:numPr>
          <w:ilvl w:val="0"/>
          <w:numId w:val="1"/>
        </w:numPr>
        <w:spacing w:lineRule="auto" w:line="240"/>
        <w:jc w:val="both"/>
        <w:rPr>
          <w:sz w:val="20"/>
          <w:sz w:val="20"/>
          <w:rFonts w:cs="Arial"/>
        </w:rPr>
      </w:pPr>
      <w:r>
        <w:rPr>
          <w:rFonts w:cs="Arial"/>
          <w:sz w:val="20"/>
        </w:rPr>
        <w:t>Direktion Einsatz (DE) 21 (Einsatz)</w:t>
      </w:r>
      <w:r/>
    </w:p>
    <w:p>
      <w:pPr>
        <w:pStyle w:val="ListParagraph"/>
        <w:numPr>
          <w:ilvl w:val="0"/>
          <w:numId w:val="1"/>
        </w:numPr>
        <w:spacing w:lineRule="auto" w:line="240"/>
        <w:jc w:val="both"/>
        <w:rPr>
          <w:sz w:val="20"/>
          <w:sz w:val="20"/>
          <w:rFonts w:cs="Arial"/>
        </w:rPr>
      </w:pPr>
      <w:r>
        <w:rPr>
          <w:rFonts w:cs="Arial"/>
          <w:sz w:val="20"/>
        </w:rPr>
        <w:t>DE 11 (Lagezentrum)</w:t>
      </w:r>
      <w:r/>
    </w:p>
    <w:p>
      <w:pPr>
        <w:pStyle w:val="ListParagraph"/>
        <w:numPr>
          <w:ilvl w:val="0"/>
          <w:numId w:val="1"/>
        </w:numPr>
        <w:spacing w:lineRule="auto" w:line="240"/>
        <w:jc w:val="both"/>
        <w:rPr>
          <w:sz w:val="20"/>
          <w:sz w:val="20"/>
          <w:rFonts w:cs="Arial"/>
        </w:rPr>
      </w:pPr>
      <w:r>
        <w:rPr>
          <w:rFonts w:cs="Arial"/>
          <w:sz w:val="20"/>
        </w:rPr>
        <w:t>DE 12 (Polizeieinsatzzentrale)</w:t>
      </w:r>
      <w:r/>
    </w:p>
    <w:p>
      <w:pPr>
        <w:pStyle w:val="ListParagraph"/>
        <w:numPr>
          <w:ilvl w:val="0"/>
          <w:numId w:val="1"/>
        </w:numPr>
        <w:spacing w:lineRule="auto" w:line="240"/>
        <w:jc w:val="both"/>
        <w:rPr>
          <w:sz w:val="20"/>
          <w:sz w:val="20"/>
          <w:rFonts w:cs="Arial"/>
        </w:rPr>
      </w:pPr>
      <w:r>
        <w:rPr>
          <w:rFonts w:cs="Arial"/>
          <w:sz w:val="20"/>
        </w:rPr>
        <w:t>DE 3 (Landesbereitschaftspolizei)</w:t>
      </w:r>
      <w:r/>
    </w:p>
    <w:p>
      <w:pPr>
        <w:pStyle w:val="ListParagraph"/>
        <w:numPr>
          <w:ilvl w:val="0"/>
          <w:numId w:val="1"/>
        </w:numPr>
        <w:spacing w:lineRule="auto" w:line="240"/>
        <w:jc w:val="both"/>
        <w:rPr>
          <w:sz w:val="20"/>
          <w:sz w:val="20"/>
          <w:rFonts w:cs="Arial"/>
        </w:rPr>
      </w:pPr>
      <w:r>
        <w:rPr>
          <w:rFonts w:cs="Arial"/>
          <w:sz w:val="20"/>
        </w:rPr>
        <w:t>PK 11-16, PK 21</w:t>
      </w:r>
      <w:r/>
    </w:p>
    <w:p>
      <w:pPr>
        <w:pStyle w:val="ListParagraph"/>
        <w:numPr>
          <w:ilvl w:val="0"/>
          <w:numId w:val="1"/>
        </w:numPr>
        <w:spacing w:lineRule="auto" w:line="240"/>
        <w:jc w:val="both"/>
        <w:rPr>
          <w:sz w:val="20"/>
          <w:sz w:val="20"/>
          <w:rFonts w:cs="Arial"/>
        </w:rPr>
      </w:pPr>
      <w:r>
        <w:rPr>
          <w:rFonts w:cs="Arial"/>
          <w:sz w:val="20"/>
        </w:rPr>
        <w:t>Landeskriminalamt 68 (Fachkommissariat für Front-Deal und Konsumentendelikte)</w:t>
      </w:r>
      <w:r/>
    </w:p>
    <w:p>
      <w:pPr>
        <w:pStyle w:val="ListParagraph"/>
        <w:numPr>
          <w:ilvl w:val="0"/>
          <w:numId w:val="1"/>
        </w:numPr>
        <w:spacing w:lineRule="auto" w:line="240"/>
        <w:jc w:val="both"/>
        <w:rPr>
          <w:sz w:val="20"/>
          <w:sz w:val="20"/>
          <w:rFonts w:cs="Arial"/>
        </w:rPr>
      </w:pPr>
      <w:r>
        <w:rPr>
          <w:rFonts w:cs="Arial"/>
          <w:sz w:val="20"/>
        </w:rPr>
        <w:t>Polizeipressestelle</w:t>
      </w:r>
      <w:r/>
    </w:p>
    <w:p>
      <w:pPr>
        <w:pStyle w:val="ListParagraph"/>
        <w:numPr>
          <w:ilvl w:val="0"/>
          <w:numId w:val="1"/>
        </w:numPr>
        <w:spacing w:lineRule="auto" w:line="240"/>
        <w:jc w:val="both"/>
        <w:rPr>
          <w:sz w:val="20"/>
          <w:sz w:val="20"/>
          <w:rFonts w:cs="Arial"/>
        </w:rPr>
      </w:pPr>
      <w:r>
        <w:rPr>
          <w:rFonts w:cs="Arial"/>
          <w:sz w:val="20"/>
        </w:rPr>
        <w:t>Bundespolizei.</w:t>
      </w:r>
      <w:r/>
    </w:p>
    <w:p>
      <w:pPr>
        <w:pStyle w:val="VorformatierterText"/>
        <w:rPr>
          <w:sz w:val="20"/>
          <w:sz w:val="20"/>
          <w:rFonts w:ascii="Arial" w:hAnsi="Arial" w:eastAsia="Courier New" w:cs="Arial"/>
          <w:lang w:eastAsia="ar-SA"/>
        </w:rPr>
      </w:pPr>
      <w:r>
        <w:rPr>
          <w:rFonts w:cs="Arial" w:ascii="Arial" w:hAnsi="Arial"/>
        </w:rPr>
      </w:r>
      <w:r/>
    </w:p>
    <w:p>
      <w:pPr>
        <w:pStyle w:val="VorformatierterText"/>
        <w:rPr>
          <w:sz w:val="20"/>
          <w:sz w:val="20"/>
          <w:rFonts w:ascii="Arial" w:hAnsi="Arial" w:eastAsia="Courier New" w:cs="Arial"/>
          <w:lang w:eastAsia="ar-SA"/>
        </w:rPr>
      </w:pPr>
      <w:r>
        <w:rPr>
          <w:rFonts w:cs="Arial" w:ascii="Arial" w:hAnsi="Arial"/>
        </w:rPr>
      </w:r>
      <w:r/>
    </w:p>
    <w:p>
      <w:pPr>
        <w:pStyle w:val="VorformatierterText"/>
        <w:ind w:left="1137" w:hanging="0"/>
        <w:rPr>
          <w:i/>
          <w:i/>
          <w:rFonts w:ascii="Arial" w:hAnsi="Arial" w:cs="Arial"/>
        </w:rPr>
      </w:pPr>
      <w:r>
        <w:rPr>
          <w:rFonts w:cs="Arial" w:ascii="Arial" w:hAnsi="Arial"/>
          <w:i/>
        </w:rPr>
        <w:t>7.  Hält der Senat für rechtsstaatlich, dass weiterhin die Polizei über die Einrichtung von jetzt „Gefährlichen Orten“ entscheiden soll und die Befugnisse erweitert wurden</w:t>
      </w:r>
      <w:r/>
    </w:p>
    <w:p>
      <w:pPr>
        <w:pStyle w:val="VorformatierterText"/>
        <w:rPr>
          <w:sz w:val="20"/>
          <w:sz w:val="20"/>
          <w:rFonts w:ascii="Arial" w:hAnsi="Arial" w:eastAsia="Courier New" w:cs="Arial"/>
          <w:lang w:eastAsia="ar-SA"/>
        </w:rPr>
      </w:pPr>
      <w:r>
        <w:rPr>
          <w:rFonts w:cs="Arial" w:ascii="Arial" w:hAnsi="Arial"/>
        </w:rPr>
      </w:r>
      <w:r/>
    </w:p>
    <w:p>
      <w:pPr>
        <w:pStyle w:val="Normal"/>
        <w:spacing w:lineRule="auto" w:line="240"/>
        <w:jc w:val="both"/>
        <w:rPr>
          <w:sz w:val="20"/>
          <w:sz w:val="20"/>
        </w:rPr>
      </w:pPr>
      <w:r>
        <w:rPr>
          <w:sz w:val="20"/>
        </w:rPr>
        <w:t>Der Senat hat sich hiermit noch nicht befasst. Die Behörde für Inneres und Sport sowie die Justizbehörde haben sich auf eine verfassungskonforme Neuregelung verständigt, die Gegenstand eines noch im Senat zu behandelnden Gesetzentwurfes sein wird. Die Vorschrift zur Identitätsfeststellung an sog. gefährlichen Orten und in unmittelbarer Nähe von gefährdeten Objekten soll im Übrigen nicht neu eingeführt werden. Es gibt sie bereits seit 1990. Auch die in Aussicht genommene neue Befugnis zur Durchsuchung von mitgeführten Sachen  hat sich im Grundsatz bereits in den Polizeigesetzen anderer Länder bewährt.</w:t>
      </w:r>
      <w:r/>
    </w:p>
    <w:p>
      <w:pPr>
        <w:pStyle w:val="Normal"/>
        <w:spacing w:lineRule="auto" w:line="240"/>
        <w:jc w:val="both"/>
        <w:rPr>
          <w:sz w:val="20"/>
          <w:sz w:val="20"/>
          <w:rFonts w:ascii="Arial" w:hAnsi="Arial" w:eastAsia="Times New Roman"/>
          <w:lang w:eastAsia="de-DE"/>
        </w:rPr>
      </w:pPr>
      <w:r>
        <w:rPr>
          <w:sz w:val="20"/>
        </w:rPr>
      </w:r>
      <w:r/>
    </w:p>
    <w:p>
      <w:pPr>
        <w:pStyle w:val="Normal"/>
        <w:spacing w:lineRule="auto" w:line="240"/>
        <w:jc w:val="both"/>
        <w:rPr>
          <w:sz w:val="20"/>
          <w:sz w:val="20"/>
          <w:rFonts w:ascii="Arial" w:hAnsi="Arial" w:eastAsia="Times New Roman"/>
          <w:lang w:eastAsia="de-DE"/>
        </w:rPr>
      </w:pPr>
      <w:r>
        <w:rPr>
          <w:sz w:val="20"/>
        </w:rPr>
      </w:r>
      <w:r/>
    </w:p>
    <w:p>
      <w:pPr>
        <w:pStyle w:val="VorformatierterText"/>
        <w:ind w:left="1137" w:hanging="0"/>
        <w:rPr>
          <w:i/>
          <w:i/>
          <w:rFonts w:ascii="Arial" w:hAnsi="Arial" w:cs="Arial"/>
        </w:rPr>
      </w:pPr>
      <w:r>
        <w:rPr>
          <w:rFonts w:cs="Arial" w:ascii="Arial" w:hAnsi="Arial"/>
          <w:i/>
        </w:rPr>
        <w:t>8.  Hält der Senat die ständige Polizeipräsenz in der Hafenstraße für Verhältnismäßig?</w:t>
      </w:r>
      <w:r/>
    </w:p>
    <w:p>
      <w:pPr>
        <w:pStyle w:val="VorformatierterText"/>
        <w:ind w:left="1137" w:hanging="0"/>
        <w:rPr>
          <w:i/>
          <w:i/>
          <w:rFonts w:ascii="Arial" w:hAnsi="Arial" w:cs="Arial"/>
        </w:rPr>
      </w:pPr>
      <w:r>
        <w:rPr>
          <w:rFonts w:cs="Arial" w:ascii="Arial" w:hAnsi="Arial"/>
          <w:i/>
        </w:rPr>
        <w:t>Wenn ja: Warum?</w:t>
      </w:r>
      <w:r/>
    </w:p>
    <w:p>
      <w:pPr>
        <w:pStyle w:val="VorformatierterText"/>
        <w:ind w:left="1137" w:hanging="0"/>
        <w:rPr>
          <w:i/>
          <w:i/>
          <w:rFonts w:ascii="Arial" w:hAnsi="Arial" w:cs="Arial"/>
        </w:rPr>
      </w:pPr>
      <w:r>
        <w:rPr>
          <w:rFonts w:cs="Arial" w:ascii="Arial" w:hAnsi="Arial"/>
          <w:i/>
        </w:rPr>
        <w:t>Wenn Nein: Was tut der Senat um diese Praxis zu beenden?</w:t>
      </w:r>
      <w:r/>
    </w:p>
    <w:p>
      <w:pPr>
        <w:pStyle w:val="VorformatierterText"/>
        <w:rPr>
          <w:sz w:val="20"/>
          <w:sz w:val="20"/>
          <w:rFonts w:ascii="Arial" w:hAnsi="Arial" w:eastAsia="Courier New" w:cs="Arial"/>
          <w:lang w:eastAsia="ar-SA"/>
        </w:rPr>
      </w:pPr>
      <w:r>
        <w:rPr>
          <w:rFonts w:cs="Arial" w:ascii="Arial" w:hAnsi="Arial"/>
        </w:rPr>
      </w:r>
      <w:r/>
    </w:p>
    <w:p>
      <w:pPr>
        <w:pStyle w:val="Normal"/>
        <w:spacing w:lineRule="auto" w:line="240"/>
        <w:jc w:val="both"/>
        <w:rPr>
          <w:sz w:val="20"/>
          <w:sz w:val="20"/>
          <w:rFonts w:cs="Arial"/>
        </w:rPr>
      </w:pPr>
      <w:r>
        <w:rPr>
          <w:rFonts w:cs="Arial"/>
          <w:sz w:val="20"/>
        </w:rPr>
        <w:t>Siehe Vorbemerkung sowie Antwort zu 6.</w:t>
      </w:r>
      <w:r/>
    </w:p>
    <w:p>
      <w:pPr>
        <w:pStyle w:val="Normal"/>
        <w:spacing w:lineRule="auto" w:line="240"/>
        <w:jc w:val="both"/>
        <w:rPr>
          <w:sz w:val="20"/>
          <w:sz w:val="20"/>
          <w:rFonts w:ascii="Arial" w:hAnsi="Arial" w:eastAsia="Times New Roman" w:cs="Arial"/>
          <w:lang w:eastAsia="de-DE"/>
        </w:rPr>
      </w:pPr>
      <w:r>
        <w:rPr>
          <w:rFonts w:cs="Arial"/>
          <w:sz w:val="20"/>
        </w:rPr>
      </w:r>
      <w:r/>
    </w:p>
    <w:p>
      <w:pPr>
        <w:pStyle w:val="VorformatierterText"/>
        <w:rPr>
          <w:sz w:val="20"/>
          <w:sz w:val="20"/>
          <w:rFonts w:ascii="Arial" w:hAnsi="Arial" w:eastAsia="Courier New" w:cs="Arial"/>
          <w:lang w:eastAsia="ar-SA"/>
        </w:rPr>
      </w:pPr>
      <w:r>
        <w:rPr>
          <w:rFonts w:cs="Arial" w:ascii="Arial" w:hAnsi="Arial"/>
        </w:rPr>
      </w:r>
      <w:r/>
    </w:p>
    <w:p>
      <w:pPr>
        <w:pStyle w:val="VorformatierterText"/>
        <w:ind w:left="1137" w:hanging="0"/>
        <w:rPr>
          <w:i/>
          <w:i/>
          <w:rFonts w:ascii="Arial" w:hAnsi="Arial" w:cs="Arial"/>
        </w:rPr>
      </w:pPr>
      <w:r>
        <w:rPr>
          <w:rFonts w:cs="Arial" w:ascii="Arial" w:hAnsi="Arial"/>
          <w:i/>
        </w:rPr>
        <w:t>9.  Hält der Senat für verhältnismäßig, dass die Kontrollen zum Teil auf privaten Grundstücken stattfinden und damit das Eigentum und die Privatsphäre der AnwohnerInnen verletzt wird?</w:t>
      </w:r>
      <w:r/>
    </w:p>
    <w:p>
      <w:pPr>
        <w:pStyle w:val="VorformatierterText"/>
        <w:ind w:left="1137" w:hanging="0"/>
        <w:rPr>
          <w:i/>
          <w:i/>
          <w:rFonts w:ascii="Arial" w:hAnsi="Arial" w:cs="Arial"/>
        </w:rPr>
      </w:pPr>
      <w:r>
        <w:rPr>
          <w:rFonts w:cs="Arial" w:ascii="Arial" w:hAnsi="Arial"/>
          <w:i/>
        </w:rPr>
        <w:t>Wenn Ja: Warum?</w:t>
      </w:r>
      <w:r/>
    </w:p>
    <w:p>
      <w:pPr>
        <w:pStyle w:val="VorformatierterText"/>
        <w:ind w:left="1137" w:hanging="0"/>
        <w:rPr>
          <w:i/>
          <w:i/>
          <w:rFonts w:ascii="Arial" w:hAnsi="Arial" w:cs="Arial"/>
        </w:rPr>
      </w:pPr>
      <w:r>
        <w:rPr>
          <w:rFonts w:cs="Arial" w:ascii="Arial" w:hAnsi="Arial"/>
          <w:i/>
        </w:rPr>
        <w:t>Wenn Nein: Was tut der Senat um diese Praxis zu beenden?</w:t>
      </w:r>
      <w:r/>
    </w:p>
    <w:p>
      <w:pPr>
        <w:pStyle w:val="VorformatierterText"/>
        <w:rPr>
          <w:sz w:val="20"/>
          <w:sz w:val="20"/>
          <w:rFonts w:ascii="Arial" w:hAnsi="Arial" w:eastAsia="Courier New" w:cs="Arial"/>
          <w:lang w:eastAsia="ar-SA"/>
        </w:rPr>
      </w:pPr>
      <w:r>
        <w:rPr>
          <w:rFonts w:cs="Arial" w:ascii="Arial" w:hAnsi="Arial"/>
        </w:rPr>
      </w:r>
      <w:r/>
    </w:p>
    <w:p>
      <w:pPr>
        <w:pStyle w:val="Normal"/>
        <w:spacing w:lineRule="auto" w:line="240"/>
        <w:jc w:val="both"/>
        <w:rPr>
          <w:sz w:val="20"/>
          <w:sz w:val="20"/>
          <w:rFonts w:cs="Arial"/>
        </w:rPr>
      </w:pPr>
      <w:r>
        <w:rPr>
          <w:rFonts w:cs="Arial"/>
          <w:sz w:val="20"/>
        </w:rPr>
        <w:t>Siehe Drs. 21/733.</w:t>
      </w:r>
      <w:r/>
    </w:p>
    <w:p>
      <w:pPr>
        <w:pStyle w:val="Normal"/>
        <w:spacing w:lineRule="auto" w:line="240"/>
        <w:jc w:val="both"/>
        <w:rPr>
          <w:sz w:val="20"/>
          <w:sz w:val="20"/>
          <w:rFonts w:ascii="Arial" w:hAnsi="Arial" w:eastAsia="Times New Roman" w:cs="Arial"/>
          <w:lang w:eastAsia="de-DE"/>
        </w:rPr>
      </w:pPr>
      <w:r>
        <w:rPr>
          <w:rFonts w:cs="Arial"/>
          <w:sz w:val="20"/>
        </w:rPr>
      </w:r>
      <w:r/>
    </w:p>
    <w:p>
      <w:pPr>
        <w:pStyle w:val="Normal"/>
        <w:spacing w:lineRule="auto" w:line="240"/>
        <w:jc w:val="both"/>
        <w:rPr>
          <w:sz w:val="20"/>
          <w:sz w:val="20"/>
          <w:rFonts w:ascii="Arial" w:hAnsi="Arial" w:eastAsia="Times New Roman" w:cs="Arial"/>
          <w:lang w:eastAsia="de-DE"/>
        </w:rPr>
      </w:pPr>
      <w:r>
        <w:rPr>
          <w:rFonts w:cs="Arial"/>
          <w:sz w:val="20"/>
        </w:rPr>
      </w:r>
      <w:r/>
    </w:p>
    <w:p>
      <w:pPr>
        <w:pStyle w:val="VorformatierterText"/>
        <w:rPr>
          <w:sz w:val="20"/>
          <w:sz w:val="20"/>
          <w:rFonts w:ascii="Arial" w:hAnsi="Arial" w:eastAsia="Courier New" w:cs="Arial"/>
          <w:lang w:eastAsia="ar-SA"/>
        </w:rPr>
      </w:pPr>
      <w:r>
        <w:rPr>
          <w:rFonts w:cs="Arial" w:ascii="Arial" w:hAnsi="Arial"/>
        </w:rPr>
      </w:r>
      <w:r/>
    </w:p>
    <w:p>
      <w:pPr>
        <w:pStyle w:val="VorformatierterText"/>
        <w:ind w:left="1137" w:hanging="0"/>
        <w:rPr>
          <w:i/>
          <w:i/>
          <w:rFonts w:ascii="Arial" w:hAnsi="Arial" w:cs="Arial"/>
        </w:rPr>
      </w:pPr>
      <w:r>
        <w:rPr>
          <w:rFonts w:cs="Arial" w:ascii="Arial" w:hAnsi="Arial"/>
          <w:i/>
        </w:rPr>
        <w:t>10.  Erfolgen die Einsätze auch aufgrund von Anrufen der AnwohnerInnen und Beobachtungen von Beamten in Zivil? (bitte nach jeweiliger Anzahl aufschlüsseln)</w:t>
      </w:r>
      <w:r/>
    </w:p>
    <w:p>
      <w:pPr>
        <w:pStyle w:val="VorformatierterText"/>
        <w:rPr>
          <w:sz w:val="20"/>
          <w:sz w:val="20"/>
          <w:rFonts w:ascii="Arial" w:hAnsi="Arial" w:eastAsia="Courier New" w:cs="Arial"/>
          <w:lang w:eastAsia="ar-SA"/>
        </w:rPr>
      </w:pPr>
      <w:r>
        <w:rPr>
          <w:rFonts w:cs="Arial" w:ascii="Arial" w:hAnsi="Arial"/>
        </w:rPr>
      </w:r>
      <w:r/>
    </w:p>
    <w:p>
      <w:pPr>
        <w:pStyle w:val="Normal"/>
        <w:spacing w:lineRule="auto" w:line="240"/>
        <w:jc w:val="both"/>
        <w:rPr>
          <w:sz w:val="20"/>
          <w:sz w:val="20"/>
          <w:rFonts w:cs="Arial"/>
          <w:lang w:eastAsia="en-US"/>
        </w:rPr>
      </w:pPr>
      <w:r>
        <w:rPr>
          <w:rFonts w:cs="Arial"/>
          <w:color w:val="000000" w:themeColor="text1"/>
          <w:sz w:val="20"/>
        </w:rPr>
        <w:t xml:space="preserve">Die Polizei berücksichtigt bei ihrer Lagebeurteilung neben eigenen Feststellungen auch Informationen Dritter. Darüber hinaus werden </w:t>
      </w:r>
      <w:r>
        <w:rPr>
          <w:rFonts w:cs="Arial"/>
          <w:sz w:val="20"/>
        </w:rPr>
        <w:t xml:space="preserve">Statistiken im Sinne der Fragestellung nicht geführt; </w:t>
      </w:r>
      <w:r>
        <w:rPr>
          <w:rFonts w:cs="Arial"/>
          <w:sz w:val="20"/>
          <w:lang w:eastAsia="en-US"/>
        </w:rPr>
        <w:t>für die Beantwortung wäre eine Durchsicht sämtlicher Vorgänge der jeweils zuständigen Dienststelle bei der Polizei erforderlich. Die Auswertung von mehreren zehntausend Vorgängen ist in der für die Beantwortung einer Schriftlichen Kleinen Anfrage zur Verfügung stehenden Zeit nicht möglich. Im Übrigen siehe Vorbemerkung.</w:t>
      </w:r>
      <w:r/>
    </w:p>
    <w:p>
      <w:pPr>
        <w:pStyle w:val="Normal"/>
        <w:spacing w:lineRule="auto" w:line="240"/>
        <w:jc w:val="both"/>
        <w:rPr>
          <w:sz w:val="20"/>
          <w:sz w:val="20"/>
          <w:rFonts w:ascii="Arial" w:hAnsi="Arial" w:eastAsia="Times New Roman" w:cs="Arial"/>
          <w:lang w:eastAsia="de-DE"/>
        </w:rPr>
      </w:pPr>
      <w:r>
        <w:rPr>
          <w:rFonts w:cs="Arial"/>
          <w:sz w:val="20"/>
        </w:rPr>
      </w:r>
      <w:r/>
    </w:p>
    <w:p>
      <w:pPr>
        <w:pStyle w:val="VorformatierterText"/>
        <w:rPr>
          <w:sz w:val="20"/>
          <w:sz w:val="20"/>
          <w:rFonts w:ascii="Arial" w:hAnsi="Arial" w:eastAsia="Courier New" w:cs="Arial"/>
          <w:lang w:eastAsia="ar-SA"/>
        </w:rPr>
      </w:pPr>
      <w:r>
        <w:rPr>
          <w:rFonts w:cs="Arial" w:ascii="Arial" w:hAnsi="Arial"/>
        </w:rPr>
      </w:r>
      <w:r/>
    </w:p>
    <w:p>
      <w:pPr>
        <w:pStyle w:val="VorformatierterText"/>
        <w:ind w:left="1137" w:hanging="0"/>
        <w:rPr>
          <w:i/>
          <w:i/>
          <w:rFonts w:ascii="Arial" w:hAnsi="Arial" w:cs="Arial"/>
        </w:rPr>
      </w:pPr>
      <w:r>
        <w:rPr>
          <w:rFonts w:cs="Arial" w:ascii="Arial" w:hAnsi="Arial"/>
          <w:i/>
        </w:rPr>
        <w:t>11.  In welchen und wie vielen Fällen beschlagnahmen die PolizistInnen Gegenstände wie z.B.  Handys, die die Kontrollierten mit sich führen? (Bitte nach Grund, Gegenständen und Anzahl aufschlüsseln)</w:t>
      </w:r>
      <w:r/>
    </w:p>
    <w:p>
      <w:pPr>
        <w:pStyle w:val="VorformatierterText"/>
        <w:rPr>
          <w:sz w:val="20"/>
          <w:sz w:val="20"/>
          <w:rFonts w:ascii="Arial" w:hAnsi="Arial" w:eastAsia="Courier New" w:cs="Arial"/>
          <w:lang w:eastAsia="ar-SA"/>
        </w:rPr>
      </w:pPr>
      <w:r>
        <w:rPr>
          <w:rFonts w:cs="Arial" w:ascii="Arial" w:hAnsi="Arial"/>
        </w:rPr>
      </w:r>
      <w:r/>
    </w:p>
    <w:p>
      <w:pPr>
        <w:pStyle w:val="Normal"/>
        <w:spacing w:lineRule="auto" w:line="240"/>
        <w:jc w:val="both"/>
        <w:rPr>
          <w:sz w:val="20"/>
          <w:sz w:val="20"/>
          <w:rFonts w:cs="Arial"/>
        </w:rPr>
      </w:pPr>
      <w:r>
        <w:rPr>
          <w:rFonts w:cs="Arial"/>
          <w:sz w:val="20"/>
        </w:rPr>
        <w:t>Eine Sicherstellung bzw. Beschlagnahme von Gegenständen führt die Polizei durch, wenn dies zur Gefahrenabwehr bzw. zur Strafverfolgung erforderlich und rechtlich zulässig ist.</w:t>
      </w:r>
      <w:r/>
    </w:p>
    <w:p>
      <w:pPr>
        <w:pStyle w:val="Normal"/>
        <w:spacing w:lineRule="auto" w:line="240"/>
        <w:jc w:val="both"/>
        <w:rPr>
          <w:sz w:val="20"/>
          <w:sz w:val="20"/>
          <w:rFonts w:ascii="Arial" w:hAnsi="Arial" w:eastAsia="Times New Roman" w:cs="Arial"/>
          <w:lang w:eastAsia="de-DE"/>
        </w:rPr>
      </w:pPr>
      <w:r>
        <w:rPr>
          <w:rFonts w:cs="Arial"/>
          <w:sz w:val="20"/>
        </w:rPr>
      </w:r>
      <w:r/>
    </w:p>
    <w:p>
      <w:pPr>
        <w:pStyle w:val="Normal"/>
        <w:spacing w:lineRule="auto" w:line="240"/>
        <w:jc w:val="both"/>
        <w:rPr>
          <w:sz w:val="20"/>
          <w:sz w:val="20"/>
          <w:rFonts w:cs="Arial"/>
          <w:lang w:eastAsia="en-US"/>
        </w:rPr>
      </w:pPr>
      <w:r>
        <w:rPr>
          <w:rFonts w:cs="Arial"/>
          <w:sz w:val="20"/>
        </w:rPr>
        <w:t>Darüber hinaus werden Statistiken im Sinne der Fragestellung bei der Polizei nicht geführt. F</w:t>
      </w:r>
      <w:r>
        <w:rPr>
          <w:rFonts w:cs="Arial"/>
          <w:sz w:val="20"/>
          <w:lang w:eastAsia="en-US"/>
        </w:rPr>
        <w:t>ür die Beantwortung wäre eine Durchsicht sämtlicher Vorgänge der jeweils zuständigen Dienststelle bei der Polizei erforderlich. Die Auswertung von mehreren zehntausend Vorgängen ist in der für die Beantwortung einer Schriftlichen Kleinen Anfrage zur Verfügung stehenden Zeit nicht möglich.</w:t>
      </w:r>
      <w:r/>
    </w:p>
    <w:p>
      <w:pPr>
        <w:pStyle w:val="Normal"/>
        <w:spacing w:lineRule="auto" w:line="240"/>
        <w:jc w:val="both"/>
        <w:rPr>
          <w:sz w:val="20"/>
          <w:sz w:val="20"/>
          <w:rFonts w:ascii="Arial" w:hAnsi="Arial" w:eastAsia="Times New Roman" w:cs="Arial"/>
          <w:lang w:eastAsia="de-DE"/>
        </w:rPr>
      </w:pPr>
      <w:r>
        <w:rPr>
          <w:rFonts w:cs="Arial"/>
          <w:sz w:val="20"/>
        </w:rPr>
      </w:r>
      <w:r/>
    </w:p>
    <w:p>
      <w:pPr>
        <w:pStyle w:val="VorformatierterText"/>
        <w:rPr>
          <w:sz w:val="20"/>
          <w:sz w:val="20"/>
          <w:rFonts w:ascii="Arial" w:hAnsi="Arial" w:eastAsia="Courier New" w:cs="Arial"/>
          <w:lang w:eastAsia="ar-SA"/>
        </w:rPr>
      </w:pPr>
      <w:r>
        <w:rPr>
          <w:rFonts w:cs="Arial" w:ascii="Arial" w:hAnsi="Arial"/>
        </w:rPr>
      </w:r>
      <w:r/>
    </w:p>
    <w:p>
      <w:pPr>
        <w:pStyle w:val="VorformatierterText"/>
        <w:ind w:left="1137" w:hanging="0"/>
        <w:rPr>
          <w:i/>
          <w:i/>
          <w:rFonts w:ascii="Arial" w:hAnsi="Arial" w:cs="Arial"/>
        </w:rPr>
      </w:pPr>
      <w:r>
        <w:rPr>
          <w:rFonts w:cs="Arial" w:ascii="Arial" w:hAnsi="Arial"/>
          <w:i/>
        </w:rPr>
        <w:t>12.  Was geschieht anschließend mit diesen Gegenständen?</w:t>
      </w:r>
      <w:r/>
    </w:p>
    <w:p>
      <w:pPr>
        <w:pStyle w:val="VorformatierterText"/>
        <w:rPr>
          <w:sz w:val="20"/>
          <w:sz w:val="20"/>
          <w:rFonts w:ascii="Arial" w:hAnsi="Arial" w:eastAsia="Courier New" w:cs="Arial"/>
          <w:lang w:eastAsia="ar-SA"/>
        </w:rPr>
      </w:pPr>
      <w:r>
        <w:rPr>
          <w:rFonts w:cs="Arial" w:ascii="Arial" w:hAnsi="Arial"/>
        </w:rPr>
      </w:r>
      <w:r/>
    </w:p>
    <w:p>
      <w:pPr>
        <w:pStyle w:val="Normal"/>
        <w:spacing w:lineRule="auto" w:line="240"/>
        <w:jc w:val="both"/>
        <w:rPr>
          <w:sz w:val="20"/>
          <w:sz w:val="20"/>
          <w:rFonts w:cs="Arial"/>
          <w:lang w:eastAsia="en-US"/>
        </w:rPr>
      </w:pPr>
      <w:r>
        <w:rPr>
          <w:rFonts w:cs="Arial"/>
          <w:sz w:val="20"/>
          <w:lang w:eastAsia="en-US"/>
        </w:rPr>
        <w:t>Von der Polizei sichergestellte/beschlagnahmte Gegenstände werden in Verwahrung genommen. Je nach Anlass werden die Gegenstände dem Betroffenen wieder ausgehändigt oder sie verbleiben für das weitere Verfahren bei der Polizei/Staatsanwaltschaft (zum Beispiel als Beweismittel, zur technischen Untersuchung, Einziehung, Verfall).</w:t>
      </w:r>
      <w:r/>
    </w:p>
    <w:p>
      <w:pPr>
        <w:pStyle w:val="Normal"/>
        <w:spacing w:lineRule="auto" w:line="240"/>
        <w:jc w:val="both"/>
        <w:rPr>
          <w:sz w:val="20"/>
          <w:sz w:val="20"/>
          <w:rFonts w:ascii="Arial" w:hAnsi="Arial" w:eastAsia="Times New Roman" w:cs="Arial"/>
          <w:lang w:eastAsia="en-US"/>
        </w:rPr>
      </w:pPr>
      <w:r>
        <w:rPr>
          <w:rFonts w:cs="Arial"/>
          <w:sz w:val="20"/>
          <w:lang w:eastAsia="en-US"/>
        </w:rPr>
      </w:r>
      <w:r/>
    </w:p>
    <w:p>
      <w:pPr>
        <w:pStyle w:val="VorformatierterText"/>
        <w:rPr>
          <w:sz w:val="20"/>
          <w:sz w:val="20"/>
          <w:rFonts w:ascii="Arial" w:hAnsi="Arial" w:eastAsia="Courier New" w:cs="Arial"/>
          <w:lang w:eastAsia="ar-SA"/>
        </w:rPr>
      </w:pPr>
      <w:r>
        <w:rPr>
          <w:rFonts w:cs="Arial" w:ascii="Arial" w:hAnsi="Arial"/>
        </w:rPr>
      </w:r>
      <w:r/>
    </w:p>
    <w:p>
      <w:pPr>
        <w:pStyle w:val="VorformatierterText"/>
        <w:ind w:left="1137" w:hanging="0"/>
        <w:rPr>
          <w:i/>
          <w:i/>
          <w:rFonts w:ascii="Arial" w:hAnsi="Arial" w:cs="Arial"/>
        </w:rPr>
      </w:pPr>
      <w:r>
        <w:rPr>
          <w:rFonts w:cs="Arial" w:ascii="Arial" w:hAnsi="Arial"/>
          <w:i/>
        </w:rPr>
        <w:t xml:space="preserve">13.  In wie vielen Fällen wurde betroffenen Geld abgenommen? (Bitte nach Grund und Menge aufschlüsseln) </w:t>
      </w:r>
      <w:r/>
    </w:p>
    <w:p>
      <w:pPr>
        <w:pStyle w:val="VorformatierterText"/>
        <w:rPr>
          <w:sz w:val="20"/>
          <w:sz w:val="20"/>
          <w:rFonts w:ascii="Arial" w:hAnsi="Arial" w:eastAsia="Courier New" w:cs="Arial"/>
          <w:lang w:eastAsia="ar-SA"/>
        </w:rPr>
      </w:pPr>
      <w:r>
        <w:rPr>
          <w:rFonts w:cs="Arial" w:ascii="Arial" w:hAnsi="Arial"/>
        </w:rPr>
      </w:r>
      <w:r/>
    </w:p>
    <w:p>
      <w:pPr>
        <w:pStyle w:val="VorformatierterText"/>
        <w:rPr>
          <w:rFonts w:ascii="Arial" w:hAnsi="Arial" w:cs="Arial"/>
        </w:rPr>
      </w:pPr>
      <w:r>
        <w:rPr>
          <w:rFonts w:cs="Arial" w:ascii="Arial" w:hAnsi="Arial"/>
        </w:rPr>
        <w:t>Siehe Antwort zu 11.</w:t>
      </w:r>
      <w:r/>
    </w:p>
    <w:p>
      <w:pPr>
        <w:pStyle w:val="VorformatierterText"/>
        <w:rPr>
          <w:sz w:val="20"/>
          <w:sz w:val="20"/>
          <w:rFonts w:ascii="Arial" w:hAnsi="Arial" w:eastAsia="Courier New" w:cs="Arial"/>
          <w:lang w:eastAsia="ar-SA"/>
        </w:rPr>
      </w:pPr>
      <w:r>
        <w:rPr>
          <w:rFonts w:cs="Arial" w:ascii="Arial" w:hAnsi="Arial"/>
        </w:rPr>
      </w:r>
      <w:r/>
    </w:p>
    <w:p>
      <w:pPr>
        <w:pStyle w:val="VorformatierterText"/>
        <w:rPr>
          <w:sz w:val="20"/>
          <w:sz w:val="20"/>
          <w:rFonts w:ascii="Arial" w:hAnsi="Arial" w:eastAsia="Courier New" w:cs="Arial"/>
          <w:lang w:eastAsia="ar-SA"/>
        </w:rPr>
      </w:pPr>
      <w:r>
        <w:rPr>
          <w:rFonts w:cs="Arial" w:ascii="Arial" w:hAnsi="Arial"/>
        </w:rPr>
      </w:r>
      <w:r/>
    </w:p>
    <w:p>
      <w:pPr>
        <w:pStyle w:val="VorformatierterText"/>
        <w:ind w:left="1137" w:hanging="0"/>
        <w:rPr>
          <w:i/>
          <w:i/>
          <w:rFonts w:ascii="Arial" w:hAnsi="Arial" w:cs="Arial"/>
        </w:rPr>
      </w:pPr>
      <w:r>
        <w:rPr>
          <w:rFonts w:cs="Arial" w:ascii="Arial" w:hAnsi="Arial"/>
          <w:i/>
        </w:rPr>
        <w:t>14.  Was geschieht dann mit dem Geld? (Bitte einzeln aufschlüsseln)</w:t>
      </w:r>
      <w:r/>
    </w:p>
    <w:p>
      <w:pPr>
        <w:pStyle w:val="VorformatierterText"/>
        <w:rPr>
          <w:sz w:val="20"/>
          <w:sz w:val="20"/>
          <w:rFonts w:ascii="Arial" w:hAnsi="Arial" w:eastAsia="Courier New" w:cs="Arial"/>
          <w:lang w:eastAsia="ar-SA"/>
        </w:rPr>
      </w:pPr>
      <w:r>
        <w:rPr>
          <w:rFonts w:cs="Arial" w:ascii="Arial" w:hAnsi="Arial"/>
        </w:rPr>
      </w:r>
      <w:r/>
    </w:p>
    <w:p>
      <w:pPr>
        <w:pStyle w:val="VorformatierterText"/>
        <w:rPr>
          <w:rFonts w:ascii="Arial" w:hAnsi="Arial" w:cs="Arial"/>
        </w:rPr>
      </w:pPr>
      <w:r>
        <w:rPr>
          <w:rFonts w:cs="Arial" w:ascii="Arial" w:hAnsi="Arial"/>
        </w:rPr>
        <w:t>Siehe Antwort zu 12.</w:t>
      </w:r>
      <w:r/>
    </w:p>
    <w:p>
      <w:pPr>
        <w:pStyle w:val="VorformatierterText"/>
        <w:rPr>
          <w:sz w:val="20"/>
          <w:sz w:val="20"/>
          <w:rFonts w:ascii="Arial" w:hAnsi="Arial" w:eastAsia="Courier New" w:cs="Arial"/>
          <w:lang w:eastAsia="ar-SA"/>
        </w:rPr>
      </w:pPr>
      <w:r>
        <w:rPr>
          <w:rFonts w:cs="Arial" w:ascii="Arial" w:hAnsi="Arial"/>
        </w:rPr>
      </w:r>
      <w:r/>
    </w:p>
    <w:p>
      <w:pPr>
        <w:pStyle w:val="VorformatierterText"/>
        <w:rPr>
          <w:sz w:val="20"/>
          <w:sz w:val="20"/>
          <w:rFonts w:ascii="Arial" w:hAnsi="Arial" w:eastAsia="Courier New" w:cs="Arial"/>
          <w:lang w:eastAsia="ar-SA"/>
        </w:rPr>
      </w:pPr>
      <w:r>
        <w:rPr>
          <w:rFonts w:cs="Arial" w:ascii="Arial" w:hAnsi="Arial"/>
        </w:rPr>
      </w:r>
      <w:r/>
    </w:p>
    <w:p>
      <w:pPr>
        <w:pStyle w:val="VorformatierterText"/>
        <w:ind w:left="1137" w:hanging="0"/>
        <w:rPr>
          <w:i/>
          <w:i/>
          <w:rFonts w:ascii="Arial" w:hAnsi="Arial" w:cs="Arial"/>
        </w:rPr>
      </w:pPr>
      <w:r>
        <w:rPr>
          <w:rFonts w:cs="Arial" w:ascii="Arial" w:hAnsi="Arial"/>
          <w:i/>
        </w:rPr>
        <w:t>15.  Wie viele Personalienfeststellungen, in Gewahrsamnahmen und Inhaftierungen gab es seit Anfang 2016 im Bereich Hafenstraße, Bernhard Nocht Straße, Balduinstraße, Park Fiction? (Bitte nach Tagen, Anzahl und Art der Maßnahme aufschlüsseln)</w:t>
      </w:r>
      <w:r/>
    </w:p>
    <w:p>
      <w:pPr>
        <w:pStyle w:val="VorformatierterText"/>
        <w:rPr>
          <w:sz w:val="20"/>
          <w:sz w:val="20"/>
          <w:rFonts w:ascii="Arial" w:hAnsi="Arial" w:eastAsia="Courier New" w:cs="Arial"/>
          <w:lang w:eastAsia="ar-SA"/>
        </w:rPr>
      </w:pPr>
      <w:r>
        <w:rPr>
          <w:rFonts w:cs="Arial" w:ascii="Arial" w:hAnsi="Arial"/>
        </w:rPr>
      </w:r>
      <w:r/>
    </w:p>
    <w:p>
      <w:pPr>
        <w:pStyle w:val="Normal"/>
        <w:spacing w:lineRule="auto" w:line="240"/>
        <w:jc w:val="both"/>
        <w:rPr>
          <w:sz w:val="20"/>
          <w:sz w:val="20"/>
          <w:rFonts w:cs="Arial"/>
        </w:rPr>
      </w:pPr>
      <w:r>
        <w:rPr>
          <w:rFonts w:cs="Arial"/>
          <w:sz w:val="20"/>
        </w:rPr>
        <w:t>Statistische Daten im Sinne der Fragestellung werden von der Polizei nur für den gesamten Bereich des Gefahrengebietes „BtM-Kriminalität St. Pauli“ erhoben; eine Erhebung zu bestimmten Straßenzügen oder Plätzen erfolgt nicht.</w:t>
      </w:r>
      <w:r/>
    </w:p>
    <w:p>
      <w:pPr>
        <w:pStyle w:val="Normal"/>
        <w:spacing w:lineRule="auto" w:line="240"/>
        <w:jc w:val="both"/>
        <w:rPr>
          <w:sz w:val="20"/>
          <w:sz w:val="20"/>
          <w:rFonts w:ascii="Arial" w:hAnsi="Arial" w:eastAsia="Times New Roman" w:cs="Arial"/>
          <w:lang w:eastAsia="de-DE"/>
        </w:rPr>
      </w:pPr>
      <w:r>
        <w:rPr>
          <w:rFonts w:cs="Arial"/>
          <w:sz w:val="20"/>
        </w:rPr>
      </w:r>
      <w:r/>
    </w:p>
    <w:p>
      <w:pPr>
        <w:pStyle w:val="Normal"/>
        <w:spacing w:lineRule="auto" w:line="240"/>
        <w:jc w:val="both"/>
        <w:rPr>
          <w:sz w:val="20"/>
          <w:sz w:val="20"/>
          <w:rFonts w:cs="Arial"/>
        </w:rPr>
      </w:pPr>
      <w:r>
        <w:rPr>
          <w:rFonts w:cs="Arial"/>
          <w:sz w:val="20"/>
        </w:rPr>
        <w:t>Die angegebenen Daten zu durchgeführten polizeilichen Maßnahmen sind das Ergebnis einer internen Auswertung des PK 15, die vorrangig der Steuerung der polizeilichen Arbeit dient. Zeitliche Verzögerungen bei der Erhebung sowie nachträgliche Korrekturen können je nach Abfragezeitpunkt zu unterschiedlichen Ergebnissen führen.</w:t>
      </w:r>
      <w:r/>
    </w:p>
    <w:p>
      <w:pPr>
        <w:pStyle w:val="Normal"/>
        <w:spacing w:lineRule="auto" w:line="240"/>
        <w:jc w:val="both"/>
        <w:rPr>
          <w:sz w:val="20"/>
          <w:sz w:val="20"/>
          <w:rFonts w:ascii="Arial" w:hAnsi="Arial" w:eastAsia="Times New Roman" w:cs="Arial"/>
          <w:lang w:eastAsia="de-DE"/>
        </w:rPr>
      </w:pPr>
      <w:r>
        <w:rPr>
          <w:rFonts w:cs="Arial"/>
          <w:sz w:val="20"/>
        </w:rPr>
      </w:r>
      <w:r/>
    </w:p>
    <w:p>
      <w:pPr>
        <w:pStyle w:val="Normal"/>
        <w:spacing w:lineRule="auto" w:line="240"/>
        <w:jc w:val="both"/>
        <w:rPr>
          <w:sz w:val="20"/>
          <w:sz w:val="20"/>
          <w:rFonts w:cs="Arial"/>
        </w:rPr>
      </w:pPr>
      <w:r>
        <w:rPr>
          <w:rFonts w:cs="Arial"/>
          <w:sz w:val="20"/>
        </w:rPr>
        <w:t>Bei der Erfassung erfolgt keine Unterscheidung in BtM-Händler oder -Erwerber.</w:t>
      </w:r>
      <w:r/>
    </w:p>
    <w:p>
      <w:pPr>
        <w:pStyle w:val="Normal"/>
        <w:spacing w:lineRule="auto" w:line="240"/>
        <w:jc w:val="both"/>
        <w:rPr>
          <w:sz w:val="20"/>
          <w:sz w:val="20"/>
          <w:rFonts w:ascii="Arial" w:hAnsi="Arial" w:eastAsia="Times New Roman" w:cs="Arial"/>
          <w:lang w:eastAsia="de-DE"/>
        </w:rPr>
      </w:pPr>
      <w:r>
        <w:rPr>
          <w:rFonts w:cs="Arial"/>
          <w:sz w:val="20"/>
        </w:rPr>
      </w:r>
      <w:r/>
    </w:p>
    <w:p>
      <w:pPr>
        <w:pStyle w:val="Normal"/>
        <w:spacing w:lineRule="auto" w:line="240"/>
        <w:jc w:val="both"/>
        <w:rPr>
          <w:sz w:val="20"/>
          <w:sz w:val="20"/>
          <w:rFonts w:cs="Arial"/>
        </w:rPr>
      </w:pPr>
      <w:r>
        <w:rPr>
          <w:rFonts w:cs="Arial"/>
          <w:sz w:val="20"/>
        </w:rPr>
        <w:t>Im Zeitraum 1. Januar 2016 bis 24. Mai 2016 hat die Polizei insgesamt in dem Gefahrengebiet 1.680 Identitätsfeststellungen, 62 Ingewahrsamnahmen und 87 vorläufige Festnahmen durchgeführt; zu den im Einzelnen erfassten Maßnahmen siehe folgende Tabelle:</w:t>
      </w:r>
      <w:r/>
    </w:p>
    <w:p>
      <w:pPr>
        <w:pStyle w:val="Normal"/>
        <w:spacing w:lineRule="auto" w:line="240"/>
        <w:jc w:val="both"/>
        <w:rPr>
          <w:sz w:val="20"/>
          <w:sz w:val="20"/>
          <w:rFonts w:ascii="Arial" w:hAnsi="Arial" w:eastAsia="Times New Roman" w:cs="Arial"/>
          <w:lang w:eastAsia="de-DE"/>
        </w:rPr>
      </w:pPr>
      <w:r>
        <w:rPr>
          <w:rFonts w:cs="Arial"/>
          <w:sz w:val="20"/>
        </w:rPr>
      </w:r>
      <w:r/>
    </w:p>
    <w:tbl>
      <w:tblPr>
        <w:tblW w:w="9212"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700"/>
        <w:gridCol w:w="1133"/>
        <w:gridCol w:w="1133"/>
        <w:gridCol w:w="1133"/>
        <w:gridCol w:w="1276"/>
        <w:gridCol w:w="1418"/>
        <w:gridCol w:w="1418"/>
      </w:tblGrid>
      <w:tr>
        <w:trPr>
          <w:trHeight w:val="253" w:hRule="atLeast"/>
        </w:trPr>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b/>
                <w:sz w:val="20"/>
                <w:b/>
                <w:rFonts w:cs="Arial"/>
              </w:rPr>
            </w:pPr>
            <w:r>
              <w:rPr>
                <w:rFonts w:cs="Arial"/>
                <w:b/>
                <w:sz w:val="20"/>
              </w:rPr>
              <w:t>Maßnahme</w:t>
            </w: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b/>
                <w:sz w:val="20"/>
                <w:b/>
                <w:rFonts w:cs="Arial"/>
              </w:rPr>
            </w:pPr>
            <w:r>
              <w:rPr>
                <w:rFonts w:cs="Arial"/>
                <w:b/>
                <w:sz w:val="20"/>
              </w:rPr>
              <w:t>Januar</w:t>
            </w: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b/>
                <w:sz w:val="20"/>
                <w:b/>
                <w:rFonts w:cs="Arial"/>
              </w:rPr>
            </w:pPr>
            <w:r>
              <w:rPr>
                <w:rFonts w:cs="Arial"/>
                <w:b/>
                <w:sz w:val="20"/>
              </w:rPr>
              <w:t>Februar</w:t>
            </w: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b/>
                <w:sz w:val="20"/>
                <w:b/>
                <w:rFonts w:cs="Arial"/>
              </w:rPr>
            </w:pPr>
            <w:r>
              <w:rPr>
                <w:rFonts w:cs="Arial"/>
                <w:b/>
                <w:sz w:val="20"/>
              </w:rPr>
              <w:t>März</w:t>
            </w: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b/>
                <w:sz w:val="20"/>
                <w:b/>
                <w:rFonts w:cs="Arial"/>
              </w:rPr>
            </w:pPr>
            <w:r>
              <w:rPr>
                <w:rFonts w:cs="Arial"/>
                <w:b/>
                <w:sz w:val="20"/>
              </w:rPr>
              <w:t>April</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b/>
                <w:sz w:val="20"/>
                <w:b/>
                <w:rFonts w:cs="Arial"/>
              </w:rPr>
            </w:pPr>
            <w:r>
              <w:rPr>
                <w:rFonts w:cs="Arial"/>
                <w:b/>
                <w:sz w:val="20"/>
              </w:rPr>
              <w:t>Mai</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b/>
                <w:sz w:val="20"/>
                <w:b/>
                <w:rFonts w:cs="Arial"/>
              </w:rPr>
            </w:pPr>
            <w:r>
              <w:rPr>
                <w:rFonts w:cs="Arial"/>
                <w:b/>
                <w:sz w:val="20"/>
              </w:rPr>
              <w:t>Gesamt</w:t>
            </w:r>
            <w:r/>
          </w:p>
        </w:tc>
      </w:tr>
      <w:tr>
        <w:trPr>
          <w:trHeight w:val="253" w:hRule="atLeast"/>
        </w:trPr>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 4 PolDVG</w:t>
            </w: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281</w:t>
            </w: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209</w:t>
            </w: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263</w:t>
            </w: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289</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164</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color w:val="000000" w:themeColor="text1"/>
              </w:rPr>
            </w:pPr>
            <w:r>
              <w:rPr>
                <w:rFonts w:cs="Arial"/>
                <w:color w:val="000000" w:themeColor="text1"/>
                <w:sz w:val="20"/>
              </w:rPr>
              <w:t>1.206</w:t>
            </w:r>
            <w:r/>
          </w:p>
        </w:tc>
      </w:tr>
      <w:tr>
        <w:trPr>
          <w:trHeight w:val="253" w:hRule="atLeast"/>
        </w:trPr>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 163 StPO</w:t>
            </w: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74</w:t>
            </w: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83</w:t>
            </w: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96</w:t>
            </w: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138</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83</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color w:val="000000" w:themeColor="text1"/>
              </w:rPr>
            </w:pPr>
            <w:r>
              <w:rPr>
                <w:rFonts w:cs="Arial"/>
                <w:color w:val="000000" w:themeColor="text1"/>
                <w:sz w:val="20"/>
              </w:rPr>
              <w:t>474</w:t>
            </w:r>
            <w:r/>
          </w:p>
        </w:tc>
      </w:tr>
      <w:tr>
        <w:trPr>
          <w:trHeight w:val="253" w:hRule="atLeast"/>
        </w:trPr>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 13 SOG</w:t>
            </w: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14</w:t>
            </w: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14</w:t>
            </w: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16</w:t>
            </w: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12</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6</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color w:val="000000" w:themeColor="text1"/>
              </w:rPr>
            </w:pPr>
            <w:r>
              <w:rPr>
                <w:rFonts w:cs="Arial"/>
                <w:color w:val="000000" w:themeColor="text1"/>
                <w:sz w:val="20"/>
              </w:rPr>
              <w:t>62</w:t>
            </w:r>
            <w:r/>
          </w:p>
        </w:tc>
      </w:tr>
      <w:tr>
        <w:trPr>
          <w:trHeight w:val="253" w:hRule="atLeast"/>
        </w:trPr>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 127(2) StPO</w:t>
            </w: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18</w:t>
            </w: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16</w:t>
            </w: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21</w:t>
            </w: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16</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rPr>
            </w:pPr>
            <w:r>
              <w:rPr>
                <w:rFonts w:cs="Arial"/>
                <w:sz w:val="20"/>
              </w:rPr>
              <w:t>16</w:t>
            </w: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8" w:type="dxa"/>
            </w:tcMar>
          </w:tcPr>
          <w:p>
            <w:pPr>
              <w:pStyle w:val="Normal"/>
              <w:spacing w:lineRule="auto" w:line="240"/>
              <w:jc w:val="both"/>
              <w:rPr>
                <w:sz w:val="20"/>
                <w:sz w:val="20"/>
                <w:rFonts w:cs="Arial"/>
                <w:color w:val="000000" w:themeColor="text1"/>
              </w:rPr>
            </w:pPr>
            <w:r>
              <w:rPr>
                <w:rFonts w:cs="Arial"/>
                <w:color w:val="000000" w:themeColor="text1"/>
                <w:sz w:val="20"/>
              </w:rPr>
              <w:t>87</w:t>
            </w:r>
            <w:r/>
          </w:p>
        </w:tc>
      </w:tr>
    </w:tbl>
    <w:p>
      <w:pPr>
        <w:pStyle w:val="Normal"/>
        <w:spacing w:lineRule="auto" w:line="240"/>
        <w:jc w:val="both"/>
        <w:rPr>
          <w:sz w:val="20"/>
          <w:sz w:val="20"/>
          <w:rFonts w:ascii="Arial" w:hAnsi="Arial" w:eastAsia="Times New Roman" w:cs="Arial"/>
          <w:lang w:eastAsia="de-DE"/>
        </w:rPr>
      </w:pPr>
      <w:r>
        <w:rPr>
          <w:rFonts w:cs="Arial"/>
          <w:sz w:val="20"/>
        </w:rPr>
      </w:r>
      <w:r/>
    </w:p>
    <w:p>
      <w:pPr>
        <w:pStyle w:val="Normal"/>
        <w:spacing w:lineRule="auto" w:line="240"/>
        <w:jc w:val="both"/>
        <w:rPr>
          <w:sz w:val="20"/>
          <w:sz w:val="20"/>
          <w:rFonts w:ascii="Arial" w:hAnsi="Arial" w:eastAsia="Times New Roman" w:cs="Arial"/>
          <w:lang w:eastAsia="de-DE"/>
        </w:rPr>
      </w:pPr>
      <w:r>
        <w:rPr>
          <w:rFonts w:cs="Arial"/>
          <w:sz w:val="20"/>
        </w:rPr>
      </w:r>
      <w:r/>
    </w:p>
    <w:p>
      <w:pPr>
        <w:pStyle w:val="VorformatierterText"/>
        <w:ind w:left="1137" w:hanging="0"/>
        <w:rPr>
          <w:i/>
          <w:i/>
          <w:rFonts w:ascii="Arial" w:hAnsi="Arial" w:cs="Arial"/>
        </w:rPr>
      </w:pPr>
      <w:r>
        <w:rPr>
          <w:rFonts w:cs="Arial" w:ascii="Arial" w:hAnsi="Arial"/>
          <w:i/>
        </w:rPr>
        <w:t>16.  Welche Mengen an Betäubungsmitteln wurden bei den Polizeimaßnahmen seit Anfang 2016 gefunden? (Bitte Aufschlüsseln nach Einzelmengen und durchschnittlicher Einzelmenge pro Kontrolle)</w:t>
      </w:r>
      <w:r/>
    </w:p>
    <w:p>
      <w:pPr>
        <w:pStyle w:val="VorformatierterText"/>
        <w:rPr>
          <w:sz w:val="20"/>
          <w:sz w:val="20"/>
          <w:rFonts w:ascii="Arial" w:hAnsi="Arial" w:eastAsia="Courier New" w:cs="Arial"/>
          <w:lang w:eastAsia="ar-SA"/>
        </w:rPr>
      </w:pPr>
      <w:r>
        <w:rPr>
          <w:rFonts w:cs="Arial" w:ascii="Arial" w:hAnsi="Arial"/>
        </w:rPr>
      </w:r>
      <w:r/>
    </w:p>
    <w:p>
      <w:pPr>
        <w:pStyle w:val="VorformatierterText"/>
        <w:rPr>
          <w:rFonts w:ascii="Arial" w:hAnsi="Arial" w:cs="Arial"/>
        </w:rPr>
      </w:pPr>
      <w:r>
        <w:rPr>
          <w:rFonts w:cs="Arial" w:ascii="Arial" w:hAnsi="Arial"/>
        </w:rPr>
        <w:t>Siehe Antwort zu 11.</w:t>
      </w:r>
      <w:r/>
    </w:p>
    <w:p>
      <w:pPr>
        <w:pStyle w:val="VorformatierterText"/>
        <w:rPr>
          <w:sz w:val="20"/>
          <w:sz w:val="20"/>
          <w:rFonts w:ascii="Arial" w:hAnsi="Arial" w:eastAsia="Courier New" w:cs="Arial"/>
          <w:lang w:eastAsia="ar-SA"/>
        </w:rPr>
      </w:pPr>
      <w:r>
        <w:rPr>
          <w:rFonts w:cs="Arial" w:ascii="Arial" w:hAnsi="Arial"/>
        </w:rPr>
      </w:r>
      <w:r/>
    </w:p>
    <w:p>
      <w:pPr>
        <w:pStyle w:val="VorformatierterText"/>
        <w:rPr>
          <w:sz w:val="20"/>
          <w:sz w:val="20"/>
          <w:rFonts w:ascii="Arial" w:hAnsi="Arial" w:eastAsia="Courier New" w:cs="Arial"/>
          <w:lang w:eastAsia="ar-SA"/>
        </w:rPr>
      </w:pPr>
      <w:r>
        <w:rPr>
          <w:rFonts w:cs="Arial" w:ascii="Arial" w:hAnsi="Arial"/>
        </w:rPr>
      </w:r>
      <w:r/>
    </w:p>
    <w:p>
      <w:pPr>
        <w:pStyle w:val="Normal"/>
        <w:spacing w:lineRule="auto" w:line="240"/>
        <w:ind w:left="1137" w:hanging="0"/>
        <w:rPr>
          <w:sz w:val="20"/>
          <w:i/>
          <w:sz w:val="20"/>
          <w:i/>
          <w:rFonts w:cs="Arial"/>
        </w:rPr>
      </w:pPr>
      <w:r>
        <w:rPr>
          <w:rFonts w:cs="Arial"/>
          <w:i/>
          <w:sz w:val="20"/>
        </w:rPr>
        <w:t xml:space="preserve">17.  Wie viele Platzverweise wurden seit Anfang 2016 an People of Colour in St.Pauli erteilt. </w:t>
      </w:r>
      <w:r/>
    </w:p>
    <w:p>
      <w:pPr>
        <w:pStyle w:val="Normal"/>
        <w:spacing w:lineRule="auto" w:line="240"/>
        <w:ind w:left="1137" w:hanging="0"/>
        <w:rPr>
          <w:sz w:val="20"/>
          <w:i/>
          <w:sz w:val="20"/>
          <w:i/>
          <w:rFonts w:cs="Arial"/>
        </w:rPr>
      </w:pPr>
      <w:r>
        <w:rPr>
          <w:rFonts w:cs="Arial"/>
          <w:i/>
          <w:sz w:val="20"/>
        </w:rPr>
        <w:t xml:space="preserve">a) </w:t>
        <w:tab/>
        <w:t>welches Gebiet umfassten diese Platzverweise?</w:t>
      </w:r>
      <w:r/>
    </w:p>
    <w:p>
      <w:pPr>
        <w:pStyle w:val="Normal"/>
        <w:spacing w:lineRule="auto" w:line="240"/>
        <w:ind w:left="1137" w:hanging="13"/>
        <w:rPr>
          <w:sz w:val="20"/>
          <w:i/>
          <w:sz w:val="20"/>
          <w:i/>
          <w:rFonts w:cs="Arial"/>
        </w:rPr>
      </w:pPr>
      <w:r>
        <w:rPr>
          <w:rFonts w:cs="Arial"/>
          <w:i/>
          <w:sz w:val="20"/>
        </w:rPr>
        <w:t xml:space="preserve">b) </w:t>
        <w:tab/>
        <w:t>wie viele Platzverweise waren es 2015 insgesamt?</w:t>
      </w:r>
      <w:r/>
    </w:p>
    <w:p>
      <w:pPr>
        <w:pStyle w:val="Normal"/>
        <w:spacing w:lineRule="auto" w:line="240"/>
        <w:ind w:left="1137" w:hanging="13"/>
        <w:rPr>
          <w:sz w:val="20"/>
          <w:i/>
          <w:sz w:val="20"/>
          <w:i/>
          <w:rFonts w:cs="Arial"/>
        </w:rPr>
      </w:pPr>
      <w:r>
        <w:rPr>
          <w:rFonts w:cs="Arial"/>
          <w:i/>
          <w:sz w:val="20"/>
        </w:rPr>
        <w:t>c)</w:t>
        <w:tab/>
        <w:t>auf welcher Rechtsgrundlage beruhen diese Platzverweise?</w:t>
      </w:r>
      <w:r/>
    </w:p>
    <w:p>
      <w:pPr>
        <w:pStyle w:val="Normal"/>
        <w:spacing w:lineRule="auto" w:line="240"/>
        <w:ind w:left="1137" w:hanging="13"/>
        <w:rPr>
          <w:sz w:val="20"/>
          <w:i/>
          <w:sz w:val="20"/>
          <w:i/>
          <w:rFonts w:cs="Arial"/>
        </w:rPr>
      </w:pPr>
      <w:r>
        <w:rPr>
          <w:rFonts w:cs="Arial"/>
          <w:i/>
          <w:sz w:val="20"/>
        </w:rPr>
        <w:t>d)  wie viele der Betroffenen waren zuvor rechtskräftig zu Handel mit BTM verurteilt worden?</w:t>
      </w:r>
      <w:r/>
    </w:p>
    <w:p>
      <w:pPr>
        <w:pStyle w:val="Normal"/>
        <w:spacing w:lineRule="auto" w:line="240"/>
        <w:rPr>
          <w:sz w:val="20"/>
          <w:sz w:val="20"/>
          <w:rFonts w:ascii="Arial" w:hAnsi="Arial" w:eastAsia="Times New Roman" w:cs="Arial"/>
          <w:lang w:eastAsia="de-DE"/>
        </w:rPr>
      </w:pPr>
      <w:r>
        <w:rPr>
          <w:rFonts w:cs="Arial"/>
          <w:sz w:val="20"/>
        </w:rPr>
      </w:r>
      <w:r/>
    </w:p>
    <w:p>
      <w:pPr>
        <w:pStyle w:val="Normal"/>
        <w:spacing w:lineRule="auto" w:line="240"/>
        <w:jc w:val="both"/>
        <w:rPr>
          <w:sz w:val="20"/>
          <w:sz w:val="20"/>
          <w:rFonts w:cs="Arial"/>
        </w:rPr>
      </w:pPr>
      <w:r>
        <w:rPr>
          <w:rFonts w:cs="Arial"/>
          <w:sz w:val="20"/>
        </w:rPr>
        <w:t>Siehe Antwort zu 11.; darüber hinaus siehe Vorbemerkung.</w:t>
      </w:r>
      <w:r/>
    </w:p>
    <w:p>
      <w:pPr>
        <w:pStyle w:val="Normal"/>
        <w:spacing w:lineRule="auto" w:line="240"/>
        <w:jc w:val="both"/>
        <w:rPr>
          <w:sz w:val="20"/>
          <w:u w:val="single"/>
          <w:sz w:val="20"/>
          <w:rFonts w:ascii="Arial" w:hAnsi="Arial" w:eastAsia="Times New Roman" w:cs="Arial"/>
          <w:lang w:eastAsia="de-DE"/>
        </w:rPr>
      </w:pPr>
      <w:r>
        <w:rPr>
          <w:rFonts w:cs="Arial"/>
          <w:sz w:val="20"/>
          <w:u w:val="single"/>
        </w:rPr>
      </w:r>
      <w:r/>
    </w:p>
    <w:p>
      <w:pPr>
        <w:pStyle w:val="Normal"/>
        <w:spacing w:lineRule="auto" w:line="240"/>
        <w:rPr>
          <w:sz w:val="20"/>
          <w:sz w:val="20"/>
          <w:rFonts w:ascii="Arial" w:hAnsi="Arial" w:eastAsia="Times New Roman" w:cs="Arial"/>
          <w:lang w:eastAsia="de-DE"/>
        </w:rPr>
      </w:pPr>
      <w:r>
        <w:rPr>
          <w:rFonts w:cs="Arial"/>
          <w:sz w:val="20"/>
        </w:rPr>
      </w:r>
      <w:r/>
    </w:p>
    <w:p>
      <w:pPr>
        <w:pStyle w:val="Normal"/>
        <w:spacing w:lineRule="auto" w:line="240"/>
        <w:ind w:left="1137" w:hanging="13"/>
        <w:rPr>
          <w:sz w:val="20"/>
          <w:i/>
          <w:sz w:val="20"/>
          <w:i/>
          <w:rFonts w:cs="Arial"/>
        </w:rPr>
      </w:pPr>
      <w:r>
        <w:rPr>
          <w:rFonts w:cs="Arial"/>
          <w:i/>
          <w:sz w:val="20"/>
        </w:rPr>
        <w:t>18.  Wie viele BeamtInnen werden in dem o.g. Bereich (Balduintreppe, Hafenstrasse) durchschnittlich jeden Tag eingesetzt?</w:t>
      </w:r>
      <w:r/>
    </w:p>
    <w:p>
      <w:pPr>
        <w:pStyle w:val="Normal"/>
        <w:spacing w:lineRule="auto" w:line="240"/>
        <w:rPr>
          <w:sz w:val="20"/>
          <w:sz w:val="20"/>
          <w:rFonts w:ascii="Arial" w:hAnsi="Arial" w:eastAsia="Times New Roman" w:cs="Arial"/>
          <w:lang w:eastAsia="de-DE"/>
        </w:rPr>
      </w:pPr>
      <w:r>
        <w:rPr>
          <w:rFonts w:cs="Arial"/>
          <w:sz w:val="20"/>
        </w:rPr>
      </w:r>
      <w:r/>
    </w:p>
    <w:p>
      <w:pPr>
        <w:pStyle w:val="Normal"/>
        <w:spacing w:lineRule="auto" w:line="240"/>
        <w:jc w:val="both"/>
        <w:rPr>
          <w:sz w:val="20"/>
          <w:sz w:val="20"/>
          <w:rFonts w:cs="Arial"/>
        </w:rPr>
      </w:pPr>
      <w:r>
        <w:rPr>
          <w:rFonts w:cs="Arial"/>
          <w:sz w:val="20"/>
        </w:rPr>
        <w:t xml:space="preserve">Die Fragestellung berührt die Einsatztaktik der Polizei. Um die polizeilichen Maßnahmen nicht zu gefährden, sieht der Senat von einer Antwort ab; im Übrigen siehe Antwort zu 6. </w:t>
      </w:r>
      <w:r/>
    </w:p>
    <w:p>
      <w:pPr>
        <w:pStyle w:val="Normal"/>
        <w:spacing w:lineRule="auto" w:line="240"/>
        <w:jc w:val="both"/>
        <w:rPr>
          <w:sz w:val="20"/>
          <w:sz w:val="20"/>
          <w:rFonts w:ascii="Arial" w:hAnsi="Arial" w:eastAsia="Times New Roman" w:cs="Arial"/>
          <w:lang w:eastAsia="de-DE"/>
        </w:rPr>
      </w:pPr>
      <w:r>
        <w:rPr>
          <w:rFonts w:cs="Arial"/>
          <w:sz w:val="20"/>
        </w:rPr>
      </w:r>
      <w:r/>
    </w:p>
    <w:p>
      <w:pPr>
        <w:pStyle w:val="Normal"/>
        <w:spacing w:lineRule="auto" w:line="240"/>
        <w:rPr>
          <w:sz w:val="20"/>
          <w:sz w:val="20"/>
          <w:rFonts w:ascii="Arial" w:hAnsi="Arial" w:eastAsia="Times New Roman" w:cs="Arial"/>
          <w:lang w:eastAsia="de-DE"/>
        </w:rPr>
      </w:pPr>
      <w:r>
        <w:rPr>
          <w:rFonts w:cs="Arial"/>
          <w:sz w:val="20"/>
        </w:rPr>
      </w:r>
      <w:r/>
    </w:p>
    <w:p>
      <w:pPr>
        <w:pStyle w:val="Normal"/>
        <w:spacing w:lineRule="auto" w:line="240"/>
        <w:ind w:left="1137" w:hanging="13"/>
        <w:rPr>
          <w:sz w:val="20"/>
          <w:i/>
          <w:sz w:val="20"/>
          <w:i/>
          <w:rFonts w:cs="Arial"/>
        </w:rPr>
      </w:pPr>
      <w:r>
        <w:rPr>
          <w:rFonts w:cs="Arial"/>
          <w:i/>
          <w:sz w:val="20"/>
        </w:rPr>
        <w:t>21. Wie hoch sind die Kosten für den gesamten Einsatz der Polizei pro Woche (Bitte aufschlüsseln nach „Normalbetrieb“ und „Task Force“)</w:t>
      </w:r>
      <w:r/>
    </w:p>
    <w:p>
      <w:pPr>
        <w:pStyle w:val="VorformatierterText"/>
        <w:rPr>
          <w:sz w:val="20"/>
          <w:sz w:val="20"/>
          <w:rFonts w:ascii="Arial" w:hAnsi="Arial" w:eastAsia="Courier New" w:cs="Arial"/>
          <w:lang w:eastAsia="ar-SA"/>
        </w:rPr>
      </w:pPr>
      <w:r>
        <w:rPr>
          <w:rFonts w:cs="Arial" w:ascii="Arial" w:hAnsi="Arial"/>
        </w:rPr>
      </w:r>
      <w:r/>
    </w:p>
    <w:p>
      <w:pPr>
        <w:pStyle w:val="Normal"/>
        <w:spacing w:lineRule="auto" w:line="240"/>
        <w:jc w:val="both"/>
        <w:rPr>
          <w:sz w:val="20"/>
          <w:sz w:val="20"/>
          <w:rFonts w:cs="Arial"/>
        </w:rPr>
      </w:pPr>
      <w:r>
        <w:rPr>
          <w:rFonts w:cs="Arial"/>
          <w:sz w:val="20"/>
        </w:rPr>
        <w:t>Kosten für Einsätze der Polizei werden nicht für jeden Einsatz gesondert erhoben; diese Kosten werden generell aus dem zur Verfügung stehenden Haushaltsbudget gedeckt.</w:t>
      </w:r>
      <w:r/>
    </w:p>
    <w:p>
      <w:pPr>
        <w:pStyle w:val="VorformatierterText"/>
        <w:rPr>
          <w:sz w:val="20"/>
          <w:sz w:val="20"/>
          <w:rFonts w:ascii="Arial" w:hAnsi="Arial" w:eastAsia="Courier New" w:cs="Arial"/>
          <w:lang w:eastAsia="ar-SA"/>
        </w:rPr>
      </w:pPr>
      <w:r>
        <w:rPr>
          <w:rFonts w:cs="Arial" w:ascii="Arial" w:hAnsi="Arial"/>
        </w:rPr>
      </w:r>
      <w:r/>
    </w:p>
    <w:p>
      <w:pPr>
        <w:pStyle w:val="VorformatierterText"/>
        <w:ind w:left="1819" w:hanging="0"/>
        <w:rPr>
          <w:sz w:val="20"/>
          <w:sz w:val="20"/>
          <w:rFonts w:ascii="Courier New" w:hAnsi="Courier New" w:eastAsia="Courier New" w:cs="Arial"/>
          <w:lang w:eastAsia="ar-SA"/>
        </w:rPr>
      </w:pPr>
      <w:r>
        <w:rPr>
          <w:rFonts w:cs="Arial"/>
          <w:sz w:val="20"/>
        </w:rPr>
      </w:r>
      <w:r/>
    </w:p>
    <w:sectPr>
      <w:headerReference w:type="default" r:id="rId2"/>
      <w:footerReference w:type="default" r:id="rId3"/>
      <w:type w:val="nextPage"/>
      <w:pgSz w:w="11906" w:h="16838"/>
      <w:pgMar w:left="1417" w:right="1417" w:header="708" w:top="1417" w:footer="708"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Courier New">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sz w:val="20"/>
        <w:sz w:val="20"/>
        <w:rFonts w:cs="Arial"/>
      </w:rPr>
    </w:pPr>
    <w:r>
      <w:rPr>
        <w:rFonts w:cs="Arial"/>
        <w:sz w:val="20"/>
      </w:rPr>
      <w:t>21-04570</w:t>
      <w:tab/>
      <w:tab/>
      <w:t xml:space="preserve">Seite </w:t>
    </w:r>
    <w:r>
      <w:rPr>
        <w:rFonts w:cs="Arial"/>
        <w:sz w:val="20"/>
      </w:rPr>
      <w:fldChar w:fldCharType="begin"/>
    </w:r>
    <w:r>
      <w:instrText> PAGE </w:instrText>
    </w:r>
    <w:r>
      <w:fldChar w:fldCharType="separate"/>
    </w:r>
    <w:r>
      <w:t>5</w:t>
    </w:r>
    <w:r>
      <w:fldChar w:fldCharType="end"/>
    </w:r>
    <w:r>
      <w:rPr>
        <w:rFonts w:cs="Arial"/>
        <w:sz w:val="20"/>
      </w:rPr>
      <w:t xml:space="preserve"> von </w:t>
    </w:r>
    <w:r>
      <w:rPr>
        <w:rFonts w:cs="Arial"/>
        <w:sz w:val="20"/>
      </w:rPr>
      <w:fldChar w:fldCharType="begin"/>
    </w:r>
    <w:r>
      <w:instrText> NUMPAGES </w:instrText>
    </w:r>
    <w:r>
      <w:fldChar w:fldCharType="separate"/>
    </w:r>
    <w:r>
      <w:t>5</w:t>
    </w:r>
    <w:r>
      <w:fldChar w:fldCharType="end"/>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de-DE" w:eastAsia="zh-CN" w:bidi="ar-SA"/>
      </w:rPr>
    </w:rPrDefault>
    <w:pPrDefault>
      <w:pPr/>
    </w:pPrDefault>
  </w:docDefaults>
  <w:latentStyles w:defQFormat="0" w:defUnhideWhenUsed="1" w:defSemiHidden="1" w:count="267" w:defUIPriority="99" w:defLockedState="0">
    <w:lsdException w:unhideWhenUsed="0" w:qFormat="1" w:semiHidden="0" w:uiPriority="0" w:name="Normal"/>
    <w:lsdException w:unhideWhenUsed="0" w:qFormat="1"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header"/>
    <w:lsdException w:qFormat="1" w:uiPriority="35" w:name="caption"/>
    <w:lsdException w:unhideWhenUsed="0" w:qFormat="1" w:semiHidden="0" w:uiPriority="10" w:name="Title"/>
    <w:lsdException w:uiPriority="1" w:name="Default Paragraph Font"/>
    <w:lsdException w:uiPriority="0" w:name="Body Text"/>
    <w:lsdException w:unhideWhenUsed="0" w:qFormat="1" w:semiHidden="0" w:uiPriority="11" w:name="Subtitle"/>
    <w:lsdException w:unhideWhenUsed="0" w:qFormat="1" w:semiHidden="0" w:uiPriority="22" w:name="Strong"/>
    <w:lsdException w:unhideWhenUsed="0" w:qFormat="1" w:semiHidden="0" w:uiPriority="20" w:name="Emphasis"/>
    <w:lsdException w:uiPriority="0" w:name="Normal (Web)"/>
    <w:lsdException w:unhideWhenUsed="0" w:semiHidden="0" w:uiPriority="59" w:name="Table Grid"/>
    <w:lsdException w:unhideWhenUsed="0" w:name="Placeholder Text"/>
    <w:lsdException w:unhideWhenUsed="0" w:qFormat="1"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qFormat="1" w:semiHidden="0" w:uiPriority="34" w:name="List Paragraph"/>
    <w:lsdException w:unhideWhenUsed="0" w:qFormat="1" w:semiHidden="0" w:uiPriority="29" w:name="Quote"/>
    <w:lsdException w:unhideWhenUsed="0" w:qFormat="1"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qFormat="1" w:semiHidden="0" w:uiPriority="19" w:name="Subtle Emphasis"/>
    <w:lsdException w:unhideWhenUsed="0" w:qFormat="1" w:semiHidden="0" w:uiPriority="21" w:name="Intense Emphasis"/>
    <w:lsdException w:unhideWhenUsed="0" w:qFormat="1" w:semiHidden="0" w:uiPriority="31" w:name="Subtle Reference"/>
    <w:lsdException w:unhideWhenUsed="0" w:qFormat="1" w:semiHidden="0" w:uiPriority="32" w:name="Intense Reference"/>
    <w:lsdException w:unhideWhenUsed="0" w:qFormat="1" w:semiHidden="0" w:uiPriority="33" w:name="Book Title"/>
    <w:lsdException w:uiPriority="37" w:name="Bibliography"/>
    <w:lsdException w:qFormat="1" w:uiPriority="39" w:name="TOC Heading"/>
  </w:latentStyles>
  <w:style w:type="paragraph" w:styleId="Normal" w:default="1">
    <w:name w:val="Normal"/>
    <w:qFormat/>
    <w:rsid w:val="00810c6e"/>
    <w:pPr>
      <w:widowControl/>
      <w:suppressAutoHyphens w:val="true"/>
      <w:bidi w:val="0"/>
      <w:spacing w:lineRule="auto" w:line="360"/>
      <w:jc w:val="left"/>
    </w:pPr>
    <w:rPr>
      <w:rFonts w:ascii="Arial" w:hAnsi="Arial" w:eastAsia="Times New Roman" w:cs="Times New Roman"/>
      <w:color w:val="auto"/>
      <w:sz w:val="24"/>
      <w:szCs w:val="20"/>
      <w:lang w:eastAsia="de-DE" w:val="de-DE" w:bidi="ar-SA"/>
    </w:rPr>
  </w:style>
  <w:style w:type="character" w:styleId="DefaultParagraphFont" w:default="1">
    <w:name w:val="Default Paragraph Font"/>
    <w:uiPriority w:val="1"/>
    <w:semiHidden/>
    <w:unhideWhenUsed/>
    <w:rPr/>
  </w:style>
  <w:style w:type="character" w:styleId="KopfzeileZchn" w:customStyle="1">
    <w:name w:val="Kopfzeile Zchn"/>
    <w:link w:val="Kopfzeile"/>
    <w:rsid w:val="00cf628c"/>
    <w:rPr>
      <w:rFonts w:ascii="Arial" w:hAnsi="Arial" w:eastAsia="Times New Roman" w:cs="Times New Roman"/>
      <w:sz w:val="24"/>
      <w:szCs w:val="20"/>
      <w:lang w:eastAsia="de-DE"/>
    </w:rPr>
  </w:style>
  <w:style w:type="character" w:styleId="FuzeileZchn" w:customStyle="1">
    <w:name w:val="Fußzeile Zchn"/>
    <w:link w:val="Fuzeile"/>
    <w:uiPriority w:val="99"/>
    <w:rsid w:val="00cf628c"/>
    <w:rPr>
      <w:rFonts w:ascii="Arial" w:hAnsi="Arial" w:eastAsia="Times New Roman" w:cs="Times New Roman"/>
      <w:sz w:val="24"/>
      <w:szCs w:val="20"/>
      <w:lang w:eastAsia="de-DE"/>
    </w:rPr>
  </w:style>
  <w:style w:type="character" w:styleId="SprechblasentextZchn" w:customStyle="1">
    <w:name w:val="Sprechblasentext Zchn"/>
    <w:link w:val="Sprechblasentext"/>
    <w:uiPriority w:val="99"/>
    <w:semiHidden/>
    <w:rsid w:val="00cf628c"/>
    <w:rPr>
      <w:rFonts w:ascii="Tahoma" w:hAnsi="Tahoma" w:eastAsia="Times New Roman" w:cs="Tahoma"/>
      <w:sz w:val="16"/>
      <w:szCs w:val="16"/>
      <w:lang w:eastAsia="de-DE"/>
    </w:rPr>
  </w:style>
  <w:style w:type="character" w:styleId="TextkrperZchn" w:customStyle="1">
    <w:name w:val="Textkörper Zchn"/>
    <w:link w:val="Textkrper"/>
    <w:rsid w:val="003c39b7"/>
    <w:rPr>
      <w:rFonts w:ascii="Arial" w:hAnsi="Arial" w:eastAsia="Times New Roman" w:cs="Arial"/>
      <w:b/>
      <w:bCs/>
      <w:sz w:val="24"/>
      <w:szCs w:val="24"/>
    </w:rPr>
  </w:style>
  <w:style w:type="character" w:styleId="ListLabel1">
    <w:name w:val="ListLabel 1"/>
    <w:rPr>
      <w:rFonts w:cs="Courier New"/>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link w:val="TextkrperZchn"/>
    <w:rsid w:val="003c39b7"/>
    <w:pPr>
      <w:spacing w:lineRule="auto" w:line="240"/>
      <w:jc w:val="both"/>
    </w:pPr>
    <w:rPr>
      <w:rFonts w:cs="Arial"/>
      <w:b/>
      <w:bCs/>
      <w:szCs w:val="24"/>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rmalWeb">
    <w:name w:val="Normal (Web)"/>
    <w:basedOn w:val="Normal"/>
    <w:unhideWhenUsed/>
    <w:rsid w:val="00810c6e"/>
    <w:pPr>
      <w:spacing w:lineRule="auto" w:line="240" w:before="280" w:after="280"/>
    </w:pPr>
    <w:rPr>
      <w:rFonts w:ascii="Times New Roman" w:hAnsi="Times New Roman"/>
      <w:szCs w:val="24"/>
    </w:rPr>
  </w:style>
  <w:style w:type="paragraph" w:styleId="Header">
    <w:name w:val="Header"/>
    <w:basedOn w:val="Normal"/>
    <w:link w:val="KopfzeileZchn"/>
    <w:unhideWhenUsed/>
    <w:rsid w:val="00cf628c"/>
    <w:pPr>
      <w:tabs>
        <w:tab w:val="center" w:pos="4536" w:leader="none"/>
        <w:tab w:val="right" w:pos="9072" w:leader="none"/>
      </w:tabs>
      <w:spacing w:lineRule="auto" w:line="240"/>
    </w:pPr>
    <w:rPr/>
  </w:style>
  <w:style w:type="paragraph" w:styleId="Footer">
    <w:name w:val="Footer"/>
    <w:basedOn w:val="Normal"/>
    <w:link w:val="FuzeileZchn"/>
    <w:uiPriority w:val="99"/>
    <w:unhideWhenUsed/>
    <w:rsid w:val="00cf628c"/>
    <w:pPr>
      <w:tabs>
        <w:tab w:val="center" w:pos="4536" w:leader="none"/>
        <w:tab w:val="right" w:pos="9072" w:leader="none"/>
      </w:tabs>
      <w:spacing w:lineRule="auto" w:line="240"/>
    </w:pPr>
    <w:rPr/>
  </w:style>
  <w:style w:type="paragraph" w:styleId="BalloonText">
    <w:name w:val="Balloon Text"/>
    <w:basedOn w:val="Normal"/>
    <w:link w:val="SprechblasentextZchn"/>
    <w:uiPriority w:val="99"/>
    <w:semiHidden/>
    <w:unhideWhenUsed/>
    <w:rsid w:val="00cf628c"/>
    <w:pPr>
      <w:spacing w:lineRule="auto" w:line="240"/>
    </w:pPr>
    <w:rPr>
      <w:rFonts w:ascii="Tahoma" w:hAnsi="Tahoma" w:cs="Tahoma"/>
      <w:sz w:val="16"/>
      <w:szCs w:val="16"/>
    </w:rPr>
  </w:style>
  <w:style w:type="paragraph" w:styleId="Default" w:customStyle="1">
    <w:name w:val="Default"/>
    <w:rsid w:val="004739fd"/>
    <w:pPr>
      <w:widowControl/>
      <w:suppressAutoHyphens w:val="true"/>
      <w:bidi w:val="0"/>
      <w:jc w:val="left"/>
    </w:pPr>
    <w:rPr>
      <w:rFonts w:ascii="Arial" w:hAnsi="Arial" w:eastAsia="Times New Roman" w:cs="Arial"/>
      <w:color w:val="000000"/>
      <w:sz w:val="24"/>
      <w:szCs w:val="24"/>
      <w:lang w:eastAsia="de-DE" w:val="de-DE" w:bidi="ar-SA"/>
    </w:rPr>
  </w:style>
  <w:style w:type="paragraph" w:styleId="VorformatierterText" w:customStyle="1">
    <w:name w:val="Vorformatierter Text"/>
    <w:basedOn w:val="Normal"/>
    <w:rsid w:val="00722929"/>
    <w:pPr>
      <w:widowControl w:val="false"/>
      <w:suppressAutoHyphens w:val="true"/>
      <w:spacing w:lineRule="auto" w:line="240"/>
    </w:pPr>
    <w:rPr>
      <w:rFonts w:ascii="Courier New" w:hAnsi="Courier New" w:eastAsia="Courier New" w:cs="Courier New"/>
      <w:sz w:val="20"/>
      <w:lang w:eastAsia="ar-SA"/>
    </w:rPr>
  </w:style>
  <w:style w:type="paragraph" w:styleId="ListParagraph">
    <w:name w:val="List Paragraph"/>
    <w:basedOn w:val="Normal"/>
    <w:uiPriority w:val="34"/>
    <w:qFormat/>
    <w:rsid w:val="00722929"/>
    <w:pPr>
      <w:spacing w:before="0" w:after="0"/>
      <w:ind w:left="720" w:hanging="0"/>
      <w:contextualSpacing/>
    </w:pPr>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9A1D1-46EB-41ED-BE8B-6622CD9A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LibreOffice/4.3.3.2$Linux_X86_64 LibreOffice_project/430m0$Build-2</Application>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2016-05-31T14:55:00Z</dcterms:created>
  <dc:creator>Geschäftsstelle</dc:creator>
  <dc:language>de-DE</dc:language>
  <cp:lastModifiedBy>Richter, Josephine</cp:lastModifiedBy>
  <cp:lastPrinted>2016-05-30T07:52:00Z</cp:lastPrinted>
  <dcterms:modified xsi:type="dcterms:W3CDTF">2016-05-31T14:55:00Z</dcterms:modified>
  <cp:revision>2</cp:revision>
</cp:coreProperties>
</file>