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bidi w:val="1"/>
        <w:spacing w:before="0" w:after="0"/>
        <w:jc w:val="left"/>
        <w:rPr/>
      </w:pPr>
      <w:r>
        <w:rPr>
          <w:rtl w:val="true"/>
        </w:rPr>
        <w:t xml:space="preserve">يكفي تعني يكفي </w:t>
      </w:r>
      <w:r/>
    </w:p>
    <w:p>
      <w:pPr>
        <w:pStyle w:val="Normal"/>
        <w:bidi w:val="1"/>
        <w:spacing w:before="0" w:after="0"/>
        <w:jc w:val="left"/>
        <w:rPr/>
      </w:pPr>
      <w:r>
        <w:rPr>
          <w:rtl w:val="true"/>
        </w:rPr>
        <w:t xml:space="preserve">ضد وحشية الشرطة </w:t>
      </w:r>
      <w:r>
        <w:rPr>
          <w:rtl w:val="true"/>
        </w:rPr>
        <w:t xml:space="preserve">, </w:t>
      </w:r>
      <w:r>
        <w:rPr>
          <w:rtl w:val="true"/>
        </w:rPr>
        <w:t>وضد المراقبة العنصرية والسجن التي تفرضها الشرطة</w:t>
      </w:r>
      <w:r/>
    </w:p>
    <w:p>
      <w:pPr>
        <w:pStyle w:val="Normal"/>
        <w:bidi w:val="1"/>
        <w:spacing w:before="0" w:after="0"/>
        <w:jc w:val="left"/>
        <w:rPr/>
      </w:pPr>
      <w:r>
        <w:rPr>
          <w:rtl w:val="true"/>
        </w:rPr>
        <w:t xml:space="preserve">لا للاقصاء و التجريم </w:t>
      </w:r>
      <w:r>
        <w:rPr>
          <w:rtl w:val="true"/>
        </w:rPr>
        <w:t xml:space="preserve">. </w:t>
      </w:r>
      <w:r/>
    </w:p>
    <w:p>
      <w:pPr>
        <w:pStyle w:val="Normal"/>
        <w:bidi w:val="1"/>
        <w:spacing w:before="0" w:after="0"/>
        <w:jc w:val="left"/>
        <w:rPr/>
      </w:pPr>
      <w:r>
        <w:rPr>
          <w:rtl w:val="true"/>
        </w:rPr>
      </w:r>
      <w:r/>
    </w:p>
    <w:p>
      <w:pPr>
        <w:pStyle w:val="Normal"/>
        <w:bidi w:val="1"/>
        <w:spacing w:before="0" w:after="0"/>
        <w:jc w:val="left"/>
        <w:rPr/>
      </w:pPr>
      <w:r>
        <w:rPr>
          <w:rtl w:val="true"/>
        </w:rPr>
        <w:t xml:space="preserve">نعلن تضامننا مع عائلة يايا ديابي و نحن نتظاهر اليوم من أجل ذكراه </w:t>
      </w:r>
      <w:r>
        <w:rPr>
          <w:rtl w:val="true"/>
        </w:rPr>
        <w:t>,</w:t>
      </w:r>
      <w:r>
        <w:rPr>
          <w:rtl w:val="true"/>
        </w:rPr>
        <w:t xml:space="preserve">الشاب الذي توفي في السجن عن عمر </w:t>
      </w:r>
      <w:r>
        <w:rPr/>
        <w:t>21</w:t>
      </w:r>
      <w:r>
        <w:rPr>
          <w:rtl w:val="true"/>
        </w:rPr>
        <w:t xml:space="preserve"> </w:t>
      </w:r>
      <w:r>
        <w:rPr>
          <w:rtl w:val="true"/>
        </w:rPr>
        <w:t xml:space="preserve">في التاسع عشر من شباط </w:t>
      </w:r>
      <w:r>
        <w:rPr/>
        <w:t>2016</w:t>
      </w:r>
      <w:r>
        <w:rPr>
          <w:rtl w:val="true"/>
        </w:rPr>
        <w:t>.</w:t>
      </w:r>
      <w:r/>
    </w:p>
    <w:p>
      <w:pPr>
        <w:pStyle w:val="Normal"/>
        <w:bidi w:val="1"/>
        <w:spacing w:before="0" w:after="0"/>
        <w:jc w:val="left"/>
        <w:rPr/>
      </w:pPr>
      <w:r>
        <w:rPr>
          <w:rtl w:val="true"/>
        </w:rPr>
        <w:t xml:space="preserve">نحن نرى أن النظام الألماني و ممثليه هم المسؤولين عن مقتله لأنه توفي بعد  أن قامت الشرطة باعتقاله وتوفي خلف جدران القضاء الألماني </w:t>
      </w:r>
      <w:r>
        <w:rPr>
          <w:rtl w:val="true"/>
        </w:rPr>
        <w:t xml:space="preserve">. </w:t>
      </w:r>
      <w:r/>
    </w:p>
    <w:p>
      <w:pPr>
        <w:pStyle w:val="Normal"/>
        <w:bidi w:val="1"/>
        <w:spacing w:before="0" w:after="0"/>
        <w:jc w:val="left"/>
        <w:rPr/>
      </w:pPr>
      <w:r>
        <w:rPr>
          <w:rtl w:val="true"/>
        </w:rPr>
        <w:t>المراقبة العنصرية التي تفرضها الشرطة</w:t>
      </w:r>
      <w:r>
        <w:rPr>
          <w:rtl w:val="true"/>
        </w:rPr>
        <w:t xml:space="preserve">, </w:t>
      </w:r>
      <w:r>
        <w:rPr>
          <w:rtl w:val="true"/>
        </w:rPr>
        <w:t xml:space="preserve">والسجن وموت الناس خلف القضبان يجب أن يتوقف في الحال </w:t>
      </w:r>
      <w:r>
        <w:rPr>
          <w:rtl w:val="true"/>
        </w:rPr>
        <w:t xml:space="preserve">. </w:t>
      </w:r>
      <w:r/>
    </w:p>
    <w:p>
      <w:pPr>
        <w:pStyle w:val="Normal"/>
        <w:bidi w:val="1"/>
        <w:spacing w:before="0" w:after="0"/>
        <w:jc w:val="left"/>
        <w:rPr/>
      </w:pPr>
      <w:r>
        <w:rPr>
          <w:rtl w:val="true"/>
        </w:rPr>
        <w:t xml:space="preserve">في الرابع عشر من كانون الثاني </w:t>
      </w:r>
      <w:r>
        <w:rPr/>
        <w:t>2016</w:t>
      </w:r>
      <w:r>
        <w:rPr>
          <w:rtl w:val="true"/>
        </w:rPr>
        <w:t xml:space="preserve"> </w:t>
      </w:r>
      <w:r>
        <w:rPr>
          <w:rtl w:val="true"/>
        </w:rPr>
        <w:t xml:space="preserve">تم اعتقال يايا ديابي لأسباب تافهة و أحكام مسبقة أساسها عنصري من قبل الشرطة في هاربرغر بيرغ </w:t>
      </w:r>
      <w:r>
        <w:rPr>
          <w:rtl w:val="true"/>
        </w:rPr>
        <w:t>,</w:t>
      </w:r>
      <w:r>
        <w:rPr>
          <w:rtl w:val="true"/>
        </w:rPr>
        <w:t xml:space="preserve">وبعد أربعة أيام في الثامن عشر من كانون الثاني تم نقله من الحجز في هولستنغلاسيز إلى هانهوفرساند </w:t>
      </w:r>
      <w:r>
        <w:rPr>
          <w:rtl w:val="true"/>
        </w:rPr>
        <w:t xml:space="preserve">. </w:t>
      </w:r>
      <w:r>
        <w:rPr>
          <w:rtl w:val="true"/>
        </w:rPr>
        <w:t xml:space="preserve">وبعد شهر تماما </w:t>
      </w:r>
      <w:r>
        <w:rPr>
          <w:rtl w:val="true"/>
        </w:rPr>
        <w:t xml:space="preserve">, </w:t>
      </w:r>
      <w:r>
        <w:rPr>
          <w:rtl w:val="true"/>
        </w:rPr>
        <w:t xml:space="preserve">مات يايا </w:t>
      </w:r>
      <w:r>
        <w:rPr>
          <w:rtl w:val="true"/>
        </w:rPr>
        <w:t xml:space="preserve">. </w:t>
      </w:r>
      <w:r/>
    </w:p>
    <w:p>
      <w:pPr>
        <w:pStyle w:val="Normal"/>
        <w:bidi w:val="1"/>
        <w:spacing w:before="0" w:after="0"/>
        <w:jc w:val="left"/>
        <w:rPr/>
      </w:pPr>
      <w:r>
        <w:rPr>
          <w:rtl w:val="true"/>
        </w:rPr>
        <w:t xml:space="preserve">واستنادا إلى السلطة القضائية في هامبورغ </w:t>
      </w:r>
      <w:r>
        <w:rPr>
          <w:rtl w:val="true"/>
        </w:rPr>
        <w:t xml:space="preserve">, </w:t>
      </w:r>
      <w:r>
        <w:rPr>
          <w:rtl w:val="true"/>
        </w:rPr>
        <w:t xml:space="preserve">فإن يايا قد قام بالانتحار عن طريق شنق نفسه بحبل ستارة </w:t>
      </w:r>
      <w:r>
        <w:rPr>
          <w:rtl w:val="true"/>
        </w:rPr>
        <w:t xml:space="preserve">. </w:t>
      </w:r>
      <w:r>
        <w:rPr>
          <w:rtl w:val="true"/>
        </w:rPr>
        <w:t xml:space="preserve">وكل من السلطات و الأشخاص الذين يعرفونه لم يلاحظوا أي إشارة تشير إلى وجود خطر الانتحار بالإضافة إلى أن ابن عمه الذي كان يلعب معه الكرة قبل يوم من وفاته صرح بأن يايا كان بمزاج جيد </w:t>
      </w:r>
      <w:r>
        <w:rPr>
          <w:rtl w:val="true"/>
        </w:rPr>
        <w:t xml:space="preserve">. </w:t>
      </w:r>
      <w:r/>
    </w:p>
    <w:p>
      <w:pPr>
        <w:pStyle w:val="Normal"/>
        <w:bidi w:val="1"/>
        <w:spacing w:before="0" w:after="0"/>
        <w:jc w:val="left"/>
        <w:rPr/>
      </w:pPr>
      <w:r>
        <w:rPr>
          <w:rtl w:val="true"/>
        </w:rPr>
        <w:t xml:space="preserve">ماذا حدث في ليلة الثامن عشر من شباط في هانهوفرساند </w:t>
      </w:r>
      <w:r>
        <w:rPr>
          <w:rtl w:val="true"/>
        </w:rPr>
        <w:t>,</w:t>
      </w:r>
      <w:r>
        <w:rPr>
          <w:rtl w:val="true"/>
        </w:rPr>
        <w:t xml:space="preserve">على الرغم من أن فرص معرفة ما حدث منخفضة نوعا ما </w:t>
      </w:r>
      <w:r>
        <w:rPr>
          <w:rtl w:val="true"/>
        </w:rPr>
        <w:t xml:space="preserve">, </w:t>
      </w:r>
      <w:r>
        <w:rPr>
          <w:rtl w:val="true"/>
        </w:rPr>
        <w:t xml:space="preserve">لكننا نطالب بتوضيح عاجل وبانهاء عزل النائب العام </w:t>
      </w:r>
      <w:r>
        <w:rPr>
          <w:rtl w:val="true"/>
        </w:rPr>
        <w:t>.</w:t>
      </w:r>
      <w:r/>
    </w:p>
    <w:p>
      <w:pPr>
        <w:pStyle w:val="Normal"/>
        <w:bidi w:val="1"/>
        <w:spacing w:before="0" w:after="0"/>
        <w:jc w:val="left"/>
        <w:rPr/>
      </w:pPr>
      <w:r>
        <w:rPr>
          <w:rtl w:val="true"/>
        </w:rPr>
        <w:t xml:space="preserve">قام كلاوس بيشيل بالاشراف على فحص جثته وبيشيل كان مسؤولا عن مئات الحالات التي  أجبرت على استخدام مثيرات للغثيان حتى تم منع هذه الطريقة في التعذيب </w:t>
      </w:r>
      <w:r>
        <w:rPr>
          <w:rtl w:val="true"/>
        </w:rPr>
        <w:t xml:space="preserve">. </w:t>
      </w:r>
      <w:r>
        <w:rPr>
          <w:rtl w:val="true"/>
        </w:rPr>
        <w:t xml:space="preserve">وهو بذلك أيضا مسؤول عن قتل أشيدي جون </w:t>
      </w:r>
      <w:r>
        <w:rPr>
          <w:rtl w:val="true"/>
        </w:rPr>
        <w:t xml:space="preserve">. </w:t>
      </w:r>
      <w:r/>
    </w:p>
    <w:p>
      <w:pPr>
        <w:pStyle w:val="Normal"/>
        <w:bidi w:val="1"/>
        <w:spacing w:before="0" w:after="0"/>
        <w:jc w:val="left"/>
        <w:rPr/>
      </w:pPr>
      <w:r>
        <w:rPr>
          <w:rtl w:val="true"/>
        </w:rPr>
        <w:t xml:space="preserve">تم تقديم طريقة التعذيب هذه في العام </w:t>
      </w:r>
      <w:r>
        <w:rPr/>
        <w:t>2001</w:t>
      </w:r>
      <w:r>
        <w:rPr>
          <w:rtl w:val="true"/>
        </w:rPr>
        <w:t xml:space="preserve"> </w:t>
      </w:r>
      <w:r>
        <w:rPr>
          <w:rtl w:val="true"/>
        </w:rPr>
        <w:t xml:space="preserve">عن طريق وزير الداخلية السابق في هامبورغ أولاف شولتز </w:t>
      </w:r>
      <w:r>
        <w:rPr>
          <w:rtl w:val="true"/>
        </w:rPr>
        <w:t xml:space="preserve">, </w:t>
      </w:r>
      <w:r>
        <w:rPr>
          <w:rtl w:val="true"/>
        </w:rPr>
        <w:t xml:space="preserve">وبعد خمسة عشر سنة مازال الممثلون نفسهم </w:t>
      </w:r>
      <w:r>
        <w:rPr>
          <w:rtl w:val="true"/>
        </w:rPr>
        <w:t xml:space="preserve">. </w:t>
      </w:r>
      <w:r>
        <w:rPr>
          <w:rtl w:val="true"/>
        </w:rPr>
        <w:t xml:space="preserve">بروفيسور بيشيل رئيس قسم الطب الجنائي في جامعة </w:t>
      </w:r>
      <w:r>
        <w:rPr/>
        <w:t>UKE</w:t>
      </w:r>
      <w:r>
        <w:rPr>
          <w:rtl w:val="true"/>
        </w:rPr>
        <w:t xml:space="preserve"> </w:t>
      </w:r>
      <w:r>
        <w:rPr>
          <w:rtl w:val="true"/>
        </w:rPr>
        <w:t xml:space="preserve">يكتب عمود بشكل منتظم في صحيفة هامبورغر آبند بلات </w:t>
      </w:r>
      <w:r>
        <w:rPr>
          <w:rtl w:val="true"/>
        </w:rPr>
        <w:t xml:space="preserve">. </w:t>
      </w:r>
      <w:r>
        <w:rPr>
          <w:rtl w:val="true"/>
        </w:rPr>
        <w:t>أولاف شولتز أصبح عمدة هامبورغ</w:t>
      </w:r>
      <w:r>
        <w:rPr>
          <w:rtl w:val="true"/>
        </w:rPr>
        <w:t xml:space="preserve">. </w:t>
      </w:r>
      <w:r>
        <w:rPr>
          <w:rtl w:val="true"/>
        </w:rPr>
        <w:t xml:space="preserve">ولم يتم إدانة أي أحد من المتهمين بمقتل أشيدي جون </w:t>
      </w:r>
      <w:r>
        <w:rPr>
          <w:rtl w:val="true"/>
        </w:rPr>
        <w:t xml:space="preserve">. </w:t>
      </w:r>
      <w:r/>
    </w:p>
    <w:p>
      <w:pPr>
        <w:pStyle w:val="Normal"/>
        <w:bidi w:val="1"/>
        <w:spacing w:before="0" w:after="0"/>
        <w:jc w:val="left"/>
        <w:rPr/>
      </w:pPr>
      <w:r>
        <w:rPr>
          <w:rtl w:val="true"/>
        </w:rPr>
        <w:t xml:space="preserve"> </w:t>
      </w:r>
      <w:r>
        <w:rPr>
          <w:rtl w:val="true"/>
        </w:rPr>
        <w:t xml:space="preserve">والعديد من الناس الآخرين تم قتلهم من قبل الحكومة الألمانية مثل </w:t>
      </w:r>
      <w:r>
        <w:rPr>
          <w:rtl w:val="true"/>
        </w:rPr>
        <w:t xml:space="preserve">: </w:t>
      </w:r>
      <w:r>
        <w:rPr>
          <w:rtl w:val="true"/>
        </w:rPr>
        <w:t xml:space="preserve">أوري جالوه </w:t>
      </w:r>
      <w:r>
        <w:rPr>
          <w:rtl w:val="true"/>
        </w:rPr>
        <w:t>,</w:t>
      </w:r>
      <w:r>
        <w:rPr>
          <w:rtl w:val="true"/>
        </w:rPr>
        <w:t xml:space="preserve">لاي كونديه </w:t>
      </w:r>
      <w:r>
        <w:rPr>
          <w:rtl w:val="true"/>
        </w:rPr>
        <w:t>,</w:t>
      </w:r>
      <w:r>
        <w:rPr>
          <w:rtl w:val="true"/>
        </w:rPr>
        <w:t>كولا بانكولي</w:t>
      </w:r>
      <w:r>
        <w:rPr>
          <w:rtl w:val="true"/>
        </w:rPr>
        <w:t xml:space="preserve">, </w:t>
      </w:r>
      <w:r>
        <w:rPr>
          <w:rtl w:val="true"/>
        </w:rPr>
        <w:t>أمير آغيب</w:t>
      </w:r>
      <w:r>
        <w:rPr>
          <w:rtl w:val="true"/>
        </w:rPr>
        <w:t xml:space="preserve">, </w:t>
      </w:r>
      <w:r>
        <w:rPr>
          <w:rtl w:val="true"/>
        </w:rPr>
        <w:t xml:space="preserve">نديه ماريامي سار </w:t>
      </w:r>
      <w:r>
        <w:rPr>
          <w:rtl w:val="true"/>
        </w:rPr>
        <w:t xml:space="preserve">, </w:t>
      </w:r>
      <w:r>
        <w:rPr>
          <w:rtl w:val="true"/>
        </w:rPr>
        <w:t xml:space="preserve">دومينيك كوامايو </w:t>
      </w:r>
      <w:r>
        <w:rPr>
          <w:rtl w:val="true"/>
        </w:rPr>
        <w:t xml:space="preserve">, </w:t>
      </w:r>
      <w:r>
        <w:rPr>
          <w:rtl w:val="true"/>
        </w:rPr>
        <w:t xml:space="preserve">سليمان حمادي </w:t>
      </w:r>
      <w:r>
        <w:rPr>
          <w:rtl w:val="true"/>
        </w:rPr>
        <w:t xml:space="preserve">, </w:t>
      </w:r>
      <w:r>
        <w:rPr>
          <w:rtl w:val="true"/>
        </w:rPr>
        <w:t xml:space="preserve">كريستي شفونديك </w:t>
      </w:r>
      <w:r>
        <w:rPr>
          <w:rtl w:val="true"/>
        </w:rPr>
        <w:t>.</w:t>
      </w:r>
      <w:r/>
    </w:p>
    <w:p>
      <w:pPr>
        <w:pStyle w:val="Normal"/>
        <w:bidi w:val="1"/>
        <w:spacing w:before="0" w:after="0"/>
        <w:jc w:val="left"/>
        <w:rPr/>
      </w:pPr>
      <w:r>
        <w:rPr>
          <w:rtl w:val="true"/>
        </w:rPr>
        <w:t>تزايد حملات المراقبة العنصرية في شتيرن شانزه</w:t>
      </w:r>
      <w:r>
        <w:rPr>
          <w:rtl w:val="true"/>
        </w:rPr>
        <w:t>,</w:t>
      </w:r>
      <w:r>
        <w:rPr>
          <w:rtl w:val="true"/>
        </w:rPr>
        <w:t xml:space="preserve">سانكت باولي </w:t>
      </w:r>
      <w:r>
        <w:rPr>
          <w:rtl w:val="true"/>
        </w:rPr>
        <w:t>,</w:t>
      </w:r>
      <w:r>
        <w:rPr>
          <w:rtl w:val="true"/>
        </w:rPr>
        <w:t xml:space="preserve">سانكت غيورغ وبالتحديد حول هافن شتراسه في الشهور الماضية غير محتمل </w:t>
      </w:r>
      <w:r>
        <w:rPr>
          <w:rtl w:val="true"/>
        </w:rPr>
        <w:t xml:space="preserve">. </w:t>
      </w:r>
      <w:r>
        <w:rPr>
          <w:rtl w:val="true"/>
        </w:rPr>
        <w:t xml:space="preserve">حملات المراقبة هذه موجهة بالتحديد نحو الأفارقة أو السود أو الناس الغير بيض </w:t>
      </w:r>
      <w:r>
        <w:rPr>
          <w:rtl w:val="true"/>
        </w:rPr>
        <w:t xml:space="preserve">. </w:t>
      </w:r>
      <w:r>
        <w:rPr>
          <w:rtl w:val="true"/>
        </w:rPr>
        <w:t xml:space="preserve">ونحن نرى هذا كضعط و إقصاء عنصري و لن نقبل به بعد الآن </w:t>
      </w:r>
      <w:r>
        <w:rPr>
          <w:rtl w:val="true"/>
        </w:rPr>
        <w:t>.</w:t>
      </w:r>
      <w:r>
        <w:rPr>
          <w:rtl w:val="true"/>
        </w:rPr>
        <w:t xml:space="preserve">أنه النظام الذي لا يعترف بالناس ويجبرهم على الخروج عن القانون ويمنعهم من حقوقهم </w:t>
      </w:r>
      <w:r>
        <w:rPr>
          <w:rtl w:val="true"/>
        </w:rPr>
        <w:t>.</w:t>
      </w:r>
      <w:r>
        <w:rPr>
          <w:rtl w:val="true"/>
        </w:rPr>
        <w:t xml:space="preserve">نحن ندين تدوين ملفات شخصية عنصرية كسلوك متزايد لإزعاجنا </w:t>
      </w:r>
      <w:r>
        <w:rPr>
          <w:rtl w:val="true"/>
        </w:rPr>
        <w:t xml:space="preserve">. </w:t>
      </w:r>
      <w:r>
        <w:rPr>
          <w:rtl w:val="true"/>
        </w:rPr>
        <w:t xml:space="preserve">وندين أيضا القبول الاجتماعي لهذا السلوك </w:t>
      </w:r>
      <w:r>
        <w:rPr>
          <w:rtl w:val="true"/>
        </w:rPr>
        <w:t xml:space="preserve">, </w:t>
      </w:r>
      <w:r>
        <w:rPr>
          <w:rtl w:val="true"/>
        </w:rPr>
        <w:t xml:space="preserve">حيث نرى أكثر وأكثر مهاجرين ولاجئين يعيشون في ظروف عنيفة </w:t>
      </w:r>
      <w:r>
        <w:rPr>
          <w:rtl w:val="true"/>
        </w:rPr>
        <w:t xml:space="preserve">. </w:t>
      </w:r>
      <w:r/>
    </w:p>
    <w:p>
      <w:pPr>
        <w:pStyle w:val="Normal"/>
        <w:bidi w:val="1"/>
        <w:spacing w:before="0" w:after="0"/>
        <w:jc w:val="left"/>
        <w:rPr/>
      </w:pPr>
      <w:r>
        <w:rPr>
          <w:rtl w:val="true"/>
        </w:rPr>
        <w:t xml:space="preserve">ولكن من حق أي إنسان أن يعيش لا أن ينجو من الموت فقط </w:t>
      </w:r>
      <w:r>
        <w:rPr>
          <w:rtl w:val="true"/>
        </w:rPr>
        <w:t xml:space="preserve">, </w:t>
      </w:r>
      <w:r>
        <w:rPr>
          <w:rtl w:val="true"/>
        </w:rPr>
        <w:t xml:space="preserve">والذي ينبغي القيام به هو تأمين الحقوق الأساسية كالطعام والشراب و السكن والصحة والعمل وحرية الحركة </w:t>
      </w:r>
      <w:r>
        <w:rPr>
          <w:rtl w:val="true"/>
        </w:rPr>
        <w:t xml:space="preserve">, </w:t>
      </w:r>
      <w:r>
        <w:rPr>
          <w:rtl w:val="true"/>
        </w:rPr>
        <w:t xml:space="preserve">نحن نطالب بحق البقاء وحق العمل لكل من يعيش هنا ولكل من يرغب بالبقاء </w:t>
      </w:r>
      <w:r>
        <w:rPr>
          <w:rtl w:val="true"/>
        </w:rPr>
        <w:t>.</w:t>
      </w:r>
      <w:r/>
    </w:p>
    <w:p>
      <w:pPr>
        <w:pStyle w:val="Normal"/>
        <w:bidi w:val="1"/>
        <w:spacing w:before="0" w:after="0"/>
        <w:jc w:val="left"/>
        <w:rPr/>
      </w:pPr>
      <w:r>
        <w:rPr>
          <w:rtl w:val="true"/>
        </w:rPr>
        <w:t xml:space="preserve">نحن نطالب الجميع بأن يسألوا أنفسهم بأي نوع من المجتمعات نحن نعيش وبأي نوع من المجتمعات نريد أن نعيش </w:t>
      </w:r>
      <w:r>
        <w:rPr>
          <w:rtl w:val="true"/>
        </w:rPr>
        <w:t>.</w:t>
      </w:r>
      <w:r/>
    </w:p>
    <w:p>
      <w:pPr>
        <w:pStyle w:val="Normal"/>
        <w:bidi w:val="1"/>
        <w:spacing w:before="0" w:after="0"/>
        <w:jc w:val="left"/>
        <w:rPr/>
      </w:pPr>
      <w:r>
        <w:rPr>
          <w:rtl w:val="true"/>
        </w:rPr>
      </w:r>
      <w:r/>
    </w:p>
    <w:p>
      <w:pPr>
        <w:pStyle w:val="Normal"/>
        <w:bidi w:val="1"/>
        <w:spacing w:before="0" w:after="0"/>
        <w:jc w:val="left"/>
        <w:rPr/>
      </w:pPr>
      <w:r>
        <w:rPr>
          <w:rtl w:val="true"/>
        </w:rPr>
      </w:r>
      <w:r/>
    </w:p>
    <w:p>
      <w:pPr>
        <w:pStyle w:val="Normal"/>
        <w:bidi w:val="1"/>
        <w:spacing w:before="0" w:after="0"/>
        <w:jc w:val="left"/>
        <w:rPr/>
      </w:pPr>
      <w:r>
        <w:rPr>
          <w:rtl w:val="true"/>
        </w:rPr>
      </w:r>
      <w:r/>
    </w:p>
    <w:p>
      <w:pPr>
        <w:pStyle w:val="Normal"/>
        <w:bidi w:val="1"/>
        <w:spacing w:before="0" w:after="0"/>
        <w:jc w:val="left"/>
        <w:rPr/>
      </w:pPr>
      <w:r>
        <w:rPr>
          <w:rtl w:val="true"/>
        </w:rPr>
      </w:r>
      <w:r/>
    </w:p>
    <w:p>
      <w:pPr>
        <w:pStyle w:val="Normal"/>
        <w:bidi w:val="1"/>
        <w:spacing w:before="0" w:after="0"/>
        <w:jc w:val="left"/>
        <w:rPr/>
      </w:pPr>
      <w:r>
        <w:rPr>
          <w:rtl w:val="true"/>
        </w:rPr>
        <w:t>“</w:t>
      </w:r>
      <w:r>
        <w:rPr>
          <w:rtl w:val="true"/>
        </w:rPr>
        <w:t xml:space="preserve">هناك طرق عديدة للقتل </w:t>
      </w:r>
      <w:r/>
    </w:p>
    <w:p>
      <w:pPr>
        <w:pStyle w:val="Normal"/>
        <w:bidi w:val="1"/>
        <w:spacing w:before="0" w:after="0"/>
        <w:jc w:val="left"/>
        <w:rPr/>
      </w:pPr>
      <w:r>
        <w:rPr>
          <w:rtl w:val="true"/>
        </w:rPr>
        <w:t>يمكن لأحدهم أن يطعن الأخر بكسين في بطنه</w:t>
      </w:r>
      <w:r/>
    </w:p>
    <w:p>
      <w:pPr>
        <w:pStyle w:val="Normal"/>
        <w:bidi w:val="1"/>
        <w:spacing w:before="0" w:after="0"/>
        <w:jc w:val="left"/>
        <w:rPr/>
      </w:pPr>
      <w:r>
        <w:rPr>
          <w:rtl w:val="true"/>
        </w:rPr>
        <w:t>أن يأخذ خبز الآخر</w:t>
      </w:r>
      <w:r/>
    </w:p>
    <w:p>
      <w:pPr>
        <w:pStyle w:val="Normal"/>
        <w:bidi w:val="1"/>
        <w:spacing w:before="0" w:after="0"/>
        <w:jc w:val="left"/>
        <w:rPr/>
      </w:pPr>
      <w:r>
        <w:rPr>
          <w:rtl w:val="true"/>
        </w:rPr>
        <w:t>ألّا يعالج الآخر من المرض</w:t>
      </w:r>
      <w:r/>
    </w:p>
    <w:p>
      <w:pPr>
        <w:pStyle w:val="Normal"/>
        <w:bidi w:val="1"/>
        <w:spacing w:before="0" w:after="0"/>
        <w:jc w:val="left"/>
        <w:rPr/>
      </w:pPr>
      <w:r>
        <w:rPr>
          <w:rtl w:val="true"/>
        </w:rPr>
        <w:t>أن يحجز الآخر في منزل تعيس</w:t>
      </w:r>
      <w:r/>
    </w:p>
    <w:p>
      <w:pPr>
        <w:pStyle w:val="Normal"/>
        <w:bidi w:val="1"/>
        <w:spacing w:before="0" w:after="0"/>
        <w:jc w:val="left"/>
        <w:rPr/>
      </w:pPr>
      <w:r>
        <w:rPr>
          <w:rtl w:val="true"/>
        </w:rPr>
        <w:t xml:space="preserve">عن طريق العمل </w:t>
      </w:r>
      <w:r>
        <w:rPr>
          <w:rtl w:val="true"/>
        </w:rPr>
        <w:t xml:space="preserve">, </w:t>
      </w:r>
      <w:r>
        <w:rPr>
          <w:rtl w:val="true"/>
        </w:rPr>
        <w:t xml:space="preserve">أو تعذيب أحدهم حتى الموت </w:t>
      </w:r>
      <w:r/>
    </w:p>
    <w:p>
      <w:pPr>
        <w:pStyle w:val="Normal"/>
        <w:bidi w:val="1"/>
        <w:spacing w:before="0" w:after="0"/>
        <w:jc w:val="left"/>
        <w:rPr/>
      </w:pPr>
      <w:r>
        <w:rPr>
          <w:rtl w:val="true"/>
        </w:rPr>
        <w:t>إرسال أحدهم إلى الحرب … إلخ</w:t>
      </w:r>
      <w:r/>
    </w:p>
    <w:p>
      <w:pPr>
        <w:pStyle w:val="Normal"/>
        <w:bidi w:val="1"/>
        <w:spacing w:before="0" w:after="0"/>
        <w:jc w:val="left"/>
        <w:rPr/>
      </w:pPr>
      <w:r>
        <w:rPr>
          <w:rtl w:val="true"/>
        </w:rPr>
        <w:t xml:space="preserve">فقط القليل من هذه الطرق ممنوعة في بلادنا </w:t>
      </w:r>
      <w:r>
        <w:rPr>
          <w:rtl w:val="true"/>
        </w:rPr>
        <w:t>"</w:t>
      </w:r>
      <w:r/>
    </w:p>
    <w:p>
      <w:pPr>
        <w:pStyle w:val="Normal"/>
        <w:bidi w:val="1"/>
        <w:spacing w:before="0" w:after="0"/>
        <w:jc w:val="left"/>
        <w:rPr/>
      </w:pPr>
      <w:r>
        <w:rPr>
          <w:rtl w:val="true"/>
        </w:rPr>
        <w:t xml:space="preserve">بيرتولت بريشت </w:t>
      </w:r>
      <w:r/>
    </w:p>
    <w:p>
      <w:pPr>
        <w:pStyle w:val="Normal"/>
        <w:bidi w:val="1"/>
        <w:spacing w:before="0" w:after="0"/>
        <w:jc w:val="left"/>
        <w:rPr/>
      </w:pPr>
      <w:r>
        <w:rPr>
          <w:rtl w:val="true"/>
        </w:rPr>
      </w:r>
      <w:r/>
    </w:p>
    <w:p>
      <w:pPr>
        <w:pStyle w:val="Normal"/>
        <w:bidi w:val="1"/>
        <w:spacing w:before="0" w:after="0"/>
        <w:jc w:val="left"/>
        <w:rPr/>
      </w:pPr>
      <w:r>
        <w:rPr>
          <w:rtl w:val="true"/>
        </w:rPr>
        <w:t xml:space="preserve">أوقفوا حملات الشرطة العنصرية </w:t>
      </w:r>
      <w:r/>
    </w:p>
    <w:p>
      <w:pPr>
        <w:pStyle w:val="Normal"/>
        <w:bidi w:val="1"/>
        <w:spacing w:before="0" w:after="0"/>
        <w:jc w:val="left"/>
        <w:rPr/>
      </w:pPr>
      <w:r>
        <w:rPr>
          <w:rtl w:val="true"/>
        </w:rPr>
        <w:t xml:space="preserve">و التضامن مع الذين تأثروا </w:t>
      </w:r>
      <w:r>
        <w:rPr>
          <w:rtl w:val="true"/>
        </w:rPr>
        <w:t>.</w:t>
      </w: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de-DE" w:eastAsia="zh-CN" w:bidi="hi-IN"/>
      </w:rPr>
    </w:rPrDefault>
    <w:pPrDefault>
      <w:pPr>
        <w:widowControl/>
        <w:spacing w:lineRule="auto" w:line="276"/>
      </w:pPr>
    </w:pPrDefault>
  </w:docDefaults>
  <w:style w:type="paragraph" w:styleId="Normal">
    <w:name w:val="Normal"/>
    <w:pPr>
      <w:keepNext/>
      <w:keepLines w:val="false"/>
      <w:widowControl/>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de-DE" w:eastAsia="zh-CN" w:bidi="hi-IN"/>
    </w:rPr>
  </w:style>
  <w:style w:type="paragraph" w:styleId="Heading1">
    <w:name w:val="Heading 1"/>
    <w:basedOn w:val="Normal1"/>
    <w:next w:val="Normal"/>
    <w:pPr>
      <w:keepNext/>
      <w:keepLines/>
      <w:spacing w:lineRule="auto" w:line="240" w:before="400" w:after="120"/>
      <w:contextualSpacing/>
    </w:pPr>
    <w:rPr>
      <w:sz w:val="40"/>
      <w:szCs w:val="40"/>
    </w:rPr>
  </w:style>
  <w:style w:type="paragraph" w:styleId="Heading2">
    <w:name w:val="Heading 2"/>
    <w:basedOn w:val="Normal1"/>
    <w:next w:val="Normal"/>
    <w:pPr>
      <w:keepNext/>
      <w:keepLines/>
      <w:spacing w:lineRule="auto" w:line="240" w:before="360" w:after="120"/>
      <w:contextualSpacing/>
    </w:pPr>
    <w:rPr>
      <w:b w:val="false"/>
      <w:sz w:val="32"/>
      <w:szCs w:val="32"/>
    </w:rPr>
  </w:style>
  <w:style w:type="paragraph" w:styleId="Heading3">
    <w:name w:val="Heading 3"/>
    <w:basedOn w:val="Normal1"/>
    <w:next w:val="Normal"/>
    <w:pPr>
      <w:keepNext/>
      <w:keepLines/>
      <w:spacing w:lineRule="auto" w:line="240" w:before="320" w:after="80"/>
      <w:contextualSpacing/>
    </w:pPr>
    <w:rPr>
      <w:b w:val="false"/>
      <w:color w:val="434343"/>
      <w:sz w:val="28"/>
      <w:szCs w:val="28"/>
    </w:rPr>
  </w:style>
  <w:style w:type="paragraph" w:styleId="Heading4">
    <w:name w:val="Heading 4"/>
    <w:basedOn w:val="Normal1"/>
    <w:next w:val="Normal"/>
    <w:pPr>
      <w:keepNext/>
      <w:keepLines/>
      <w:spacing w:lineRule="auto" w:line="240" w:before="280" w:after="80"/>
      <w:contextualSpacing/>
    </w:pPr>
    <w:rPr>
      <w:color w:val="666666"/>
      <w:sz w:val="24"/>
      <w:szCs w:val="24"/>
    </w:rPr>
  </w:style>
  <w:style w:type="paragraph" w:styleId="Heading5">
    <w:name w:val="Heading 5"/>
    <w:basedOn w:val="Normal1"/>
    <w:next w:val="Normal"/>
    <w:pPr>
      <w:keepNext/>
      <w:keepLines/>
      <w:spacing w:lineRule="auto" w:line="240" w:before="240" w:after="80"/>
      <w:contextualSpacing/>
    </w:pPr>
    <w:rPr>
      <w:color w:val="666666"/>
      <w:sz w:val="22"/>
      <w:szCs w:val="22"/>
    </w:rPr>
  </w:style>
  <w:style w:type="paragraph" w:styleId="Heading6">
    <w:name w:val="Heading 6"/>
    <w:basedOn w:val="Normal1"/>
    <w:next w:val="Normal"/>
    <w:pPr>
      <w:keepNext/>
      <w:keepLines/>
      <w:spacing w:lineRule="auto" w:line="240" w:before="240" w:after="80"/>
      <w:contextualSpacing/>
    </w:pPr>
    <w:rPr>
      <w:i/>
      <w:color w:val="666666"/>
      <w:sz w:val="22"/>
      <w:szCs w:val="22"/>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1"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de-DE" w:eastAsia="zh-CN" w:bidi="hi-IN"/>
    </w:rPr>
  </w:style>
  <w:style w:type="paragraph" w:styleId="Title">
    <w:name w:val="Title"/>
    <w:basedOn w:val="Normal1"/>
    <w:next w:val="Normal"/>
    <w:pPr>
      <w:keepNext/>
      <w:keepLines/>
      <w:spacing w:lineRule="auto" w:line="240" w:before="0" w:after="60"/>
      <w:contextualSpacing/>
    </w:pPr>
    <w:rPr>
      <w:sz w:val="52"/>
      <w:szCs w:val="52"/>
    </w:rPr>
  </w:style>
  <w:style w:type="paragraph" w:styleId="Subtitle">
    <w:name w:val="Subtitle"/>
    <w:basedOn w:val="Normal1"/>
    <w:next w:val="Normal"/>
    <w:pPr>
      <w:keepNext/>
      <w:keepLines/>
      <w:spacing w:lineRule="auto" w:line="240" w:before="0" w:after="320"/>
      <w:contextualSpacing/>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LibreOffice/4.3.3.2$Linux_X86_64 LibreOffice_project/430m0$Build-2</Application>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